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1ABCF" w14:textId="77777777" w:rsidR="005805F1" w:rsidRPr="001C1CF2" w:rsidRDefault="005805F1" w:rsidP="00066F28">
      <w:pPr>
        <w:jc w:val="both"/>
        <w:rPr>
          <w:rFonts w:ascii="Arial Narrow" w:hAnsi="Arial Narrow" w:cs="Arial"/>
        </w:rPr>
      </w:pPr>
    </w:p>
    <w:tbl>
      <w:tblPr>
        <w:tblW w:w="9782" w:type="dxa"/>
        <w:tblInd w:w="-44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782"/>
      </w:tblGrid>
      <w:tr w:rsidR="005805F1" w:rsidRPr="001C1CF2" w14:paraId="67A0BB36" w14:textId="77777777" w:rsidTr="00796BB3">
        <w:trPr>
          <w:trHeight w:val="6015"/>
        </w:trPr>
        <w:tc>
          <w:tcPr>
            <w:tcW w:w="9782" w:type="dxa"/>
            <w:tcBorders>
              <w:top w:val="double" w:sz="4" w:space="0" w:color="auto"/>
              <w:left w:val="double" w:sz="4" w:space="0" w:color="auto"/>
              <w:bottom w:val="single" w:sz="4" w:space="0" w:color="auto"/>
              <w:right w:val="double" w:sz="4" w:space="0" w:color="auto"/>
            </w:tcBorders>
          </w:tcPr>
          <w:tbl>
            <w:tblPr>
              <w:tblpPr w:leftFromText="141" w:rightFromText="141" w:vertAnchor="text" w:horzAnchor="margin" w:tblpY="-239"/>
              <w:tblOverlap w:val="neve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859"/>
            </w:tblGrid>
            <w:tr w:rsidR="005805F1" w:rsidRPr="001C1CF2" w14:paraId="45891C3D" w14:textId="77777777" w:rsidTr="00796BB3">
              <w:trPr>
                <w:trHeight w:val="416"/>
              </w:trPr>
              <w:tc>
                <w:tcPr>
                  <w:tcW w:w="3964" w:type="dxa"/>
                </w:tcPr>
                <w:p w14:paraId="78C92E37"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highlight w:val="yellow"/>
                    </w:rPr>
                    <w:t>ID de Ficha:</w:t>
                  </w:r>
                  <w:r w:rsidRPr="001C1CF2">
                    <w:rPr>
                      <w:rFonts w:ascii="Arial Narrow" w:hAnsi="Arial Narrow" w:cs="Arial"/>
                    </w:rPr>
                    <w:t xml:space="preserve"> </w:t>
                  </w:r>
                </w:p>
              </w:tc>
              <w:tc>
                <w:tcPr>
                  <w:tcW w:w="5859" w:type="dxa"/>
                </w:tcPr>
                <w:p w14:paraId="58FEE44C"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Responsable de la Ficha: Grégory de Jesús Torregrosa Rebolledo</w:t>
                  </w:r>
                </w:p>
              </w:tc>
            </w:tr>
          </w:tbl>
          <w:tbl>
            <w:tblPr>
              <w:tblpPr w:leftFromText="141" w:rightFromText="141" w:vertAnchor="text" w:horzAnchor="margin" w:tblpX="-10" w:tblpY="-209"/>
              <w:tblOverlap w:val="neve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9"/>
            </w:tblGrid>
            <w:tr w:rsidR="005805F1" w:rsidRPr="001C1CF2" w14:paraId="6BBDB76C" w14:textId="77777777" w:rsidTr="00796BB3">
              <w:trPr>
                <w:trHeight w:val="384"/>
              </w:trPr>
              <w:tc>
                <w:tcPr>
                  <w:tcW w:w="9909" w:type="dxa"/>
                  <w:shd w:val="clear" w:color="auto" w:fill="BFBFBF"/>
                </w:tcPr>
                <w:p w14:paraId="380D27D4"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DATOS DE LA SOLICITUD</w:t>
                  </w:r>
                </w:p>
              </w:tc>
            </w:tr>
          </w:tbl>
          <w:tbl>
            <w:tblPr>
              <w:tblpPr w:leftFromText="141" w:rightFromText="141" w:vertAnchor="text" w:horzAnchor="margin" w:tblpY="-223"/>
              <w:tblOverlap w:val="never"/>
              <w:tblW w:w="13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4"/>
              <w:gridCol w:w="3275"/>
              <w:gridCol w:w="3275"/>
              <w:gridCol w:w="3275"/>
            </w:tblGrid>
            <w:tr w:rsidR="005805F1" w:rsidRPr="001C1CF2" w14:paraId="2C6D818A" w14:textId="77777777" w:rsidTr="00796BB3">
              <w:trPr>
                <w:trHeight w:val="835"/>
              </w:trPr>
              <w:tc>
                <w:tcPr>
                  <w:tcW w:w="3274" w:type="dxa"/>
                </w:tcPr>
                <w:p w14:paraId="6832880B" w14:textId="77777777" w:rsidR="005805F1" w:rsidRPr="001C1CF2" w:rsidRDefault="005805F1" w:rsidP="00066F28">
                  <w:pPr>
                    <w:tabs>
                      <w:tab w:val="left" w:pos="7513"/>
                    </w:tabs>
                    <w:jc w:val="both"/>
                    <w:rPr>
                      <w:rFonts w:ascii="Arial Narrow" w:hAnsi="Arial Narrow" w:cs="Arial"/>
                    </w:rPr>
                  </w:pPr>
                </w:p>
              </w:tc>
              <w:tc>
                <w:tcPr>
                  <w:tcW w:w="3275" w:type="dxa"/>
                </w:tcPr>
                <w:p w14:paraId="660F3455" w14:textId="77777777" w:rsidR="00BB2376" w:rsidRPr="001C1CF2" w:rsidRDefault="005805F1" w:rsidP="00066F28">
                  <w:pPr>
                    <w:tabs>
                      <w:tab w:val="left" w:pos="7513"/>
                    </w:tabs>
                    <w:jc w:val="both"/>
                    <w:rPr>
                      <w:rFonts w:ascii="Arial Narrow" w:hAnsi="Arial Narrow" w:cs="Arial"/>
                    </w:rPr>
                  </w:pPr>
                  <w:r w:rsidRPr="001C1CF2">
                    <w:rPr>
                      <w:rFonts w:ascii="Arial Narrow" w:hAnsi="Arial Narrow" w:cs="Arial"/>
                    </w:rPr>
                    <w:t>Fecha de los hechos</w:t>
                  </w:r>
                  <w:r w:rsidR="000F3AC8" w:rsidRPr="001C1CF2">
                    <w:rPr>
                      <w:rFonts w:ascii="Arial Narrow" w:hAnsi="Arial Narrow" w:cs="Arial"/>
                    </w:rPr>
                    <w:t xml:space="preserve"> (1964)</w:t>
                  </w:r>
                  <w:r w:rsidRPr="001C1CF2">
                    <w:rPr>
                      <w:rFonts w:ascii="Arial Narrow" w:hAnsi="Arial Narrow" w:cs="Arial"/>
                    </w:rPr>
                    <w:t>:</w:t>
                  </w:r>
                </w:p>
                <w:p w14:paraId="242788AE" w14:textId="77777777" w:rsidR="0083244C" w:rsidRPr="001C1CF2" w:rsidRDefault="0083244C" w:rsidP="00066F28">
                  <w:pPr>
                    <w:tabs>
                      <w:tab w:val="left" w:pos="7513"/>
                    </w:tabs>
                    <w:jc w:val="both"/>
                    <w:rPr>
                      <w:rFonts w:ascii="Arial Narrow" w:hAnsi="Arial Narrow" w:cs="Arial"/>
                    </w:rPr>
                  </w:pPr>
                </w:p>
                <w:p w14:paraId="60684205" w14:textId="0922B178" w:rsidR="0083244C" w:rsidRPr="001C1CF2" w:rsidRDefault="0083244C" w:rsidP="00066F28">
                  <w:pPr>
                    <w:tabs>
                      <w:tab w:val="left" w:pos="7513"/>
                    </w:tabs>
                    <w:jc w:val="both"/>
                    <w:rPr>
                      <w:rFonts w:ascii="Arial Narrow" w:hAnsi="Arial Narrow" w:cs="Arial"/>
                    </w:rPr>
                  </w:pPr>
                  <w:r w:rsidRPr="001C1CF2">
                    <w:rPr>
                      <w:rFonts w:ascii="Arial Narrow" w:hAnsi="Arial Narrow" w:cs="Arial"/>
                    </w:rPr>
                    <w:t xml:space="preserve">El demandante sostiene la violación de </w:t>
                  </w:r>
                  <w:r w:rsidR="0013022A" w:rsidRPr="001C1CF2">
                    <w:rPr>
                      <w:rFonts w:ascii="Arial Narrow" w:eastAsiaTheme="minorHAnsi" w:hAnsi="Arial Narrow" w:cs="Calibri-Bold"/>
                      <w:b/>
                      <w:bCs/>
                    </w:rPr>
                    <w:t>derecho e intereses colectivos amenazados</w:t>
                  </w:r>
                  <w:r w:rsidR="0013022A" w:rsidRPr="001C1CF2">
                    <w:rPr>
                      <w:rFonts w:ascii="Arial Narrow" w:eastAsiaTheme="minorHAnsi" w:hAnsi="Arial Narrow" w:cs="Calibri"/>
                    </w:rPr>
                    <w:t xml:space="preserve">, </w:t>
                  </w:r>
                  <w:r w:rsidRPr="001C1CF2">
                    <w:rPr>
                      <w:rFonts w:ascii="Arial Narrow" w:eastAsiaTheme="minorHAnsi" w:hAnsi="Arial Narrow" w:cs="Calibri"/>
                    </w:rPr>
                    <w:t xml:space="preserve"> consagrados en el artículo 4° de la</w:t>
                  </w:r>
                  <w:r w:rsidR="0013022A" w:rsidRPr="001C1CF2">
                    <w:rPr>
                      <w:rFonts w:ascii="Arial Narrow" w:hAnsi="Arial Narrow" w:cs="Arial"/>
                    </w:rPr>
                    <w:t xml:space="preserve"> </w:t>
                  </w:r>
                  <w:r w:rsidRPr="001C1CF2">
                    <w:rPr>
                      <w:rFonts w:ascii="Arial Narrow" w:eastAsiaTheme="minorHAnsi" w:hAnsi="Arial Narrow" w:cs="Calibri"/>
                    </w:rPr>
                    <w:t>ley 472 de 1998, literal b). (la moralidad Administrativa), Literal d). (el goce del espacio</w:t>
                  </w:r>
                  <w:r w:rsidR="0013022A" w:rsidRPr="001C1CF2">
                    <w:rPr>
                      <w:rFonts w:ascii="Arial Narrow" w:hAnsi="Arial Narrow" w:cs="Arial"/>
                    </w:rPr>
                    <w:t xml:space="preserve"> </w:t>
                  </w:r>
                  <w:r w:rsidRPr="001C1CF2">
                    <w:rPr>
                      <w:rFonts w:ascii="Arial Narrow" w:eastAsiaTheme="minorHAnsi" w:hAnsi="Arial Narrow" w:cs="Calibri"/>
                    </w:rPr>
                    <w:t>público y la utilización y defensa de los bienes de uso público), literal e). (la defensa del</w:t>
                  </w:r>
                  <w:r w:rsidR="0013022A" w:rsidRPr="001C1CF2">
                    <w:rPr>
                      <w:rFonts w:ascii="Arial Narrow" w:eastAsiaTheme="minorHAnsi" w:hAnsi="Arial Narrow" w:cs="Calibri"/>
                    </w:rPr>
                    <w:t xml:space="preserve"> </w:t>
                  </w:r>
                  <w:r w:rsidRPr="001C1CF2">
                    <w:rPr>
                      <w:rFonts w:ascii="Arial Narrow" w:eastAsiaTheme="minorHAnsi" w:hAnsi="Arial Narrow" w:cs="Calibri"/>
                    </w:rPr>
                    <w:t>patrimonio público).</w:t>
                  </w:r>
                </w:p>
                <w:p w14:paraId="6BA081C0" w14:textId="77777777" w:rsidR="00BB2376" w:rsidRPr="001C1CF2" w:rsidRDefault="00BB2376" w:rsidP="00066F28">
                  <w:pPr>
                    <w:tabs>
                      <w:tab w:val="left" w:pos="7513"/>
                    </w:tabs>
                    <w:jc w:val="both"/>
                    <w:rPr>
                      <w:rFonts w:ascii="Arial Narrow" w:hAnsi="Arial Narrow" w:cs="Arial"/>
                    </w:rPr>
                  </w:pPr>
                </w:p>
                <w:p w14:paraId="5CB5944E" w14:textId="0134D20E" w:rsidR="000F3AC8" w:rsidRPr="001C1CF2" w:rsidRDefault="000F3AC8" w:rsidP="00066F28">
                  <w:pPr>
                    <w:tabs>
                      <w:tab w:val="left" w:pos="7513"/>
                    </w:tabs>
                    <w:jc w:val="both"/>
                    <w:rPr>
                      <w:rFonts w:ascii="Arial Narrow" w:hAnsi="Arial Narrow" w:cs="Arial"/>
                    </w:rPr>
                  </w:pPr>
                  <w:r w:rsidRPr="001C1CF2">
                    <w:rPr>
                      <w:rFonts w:ascii="Arial Narrow" w:hAnsi="Arial Narrow" w:cs="Arial"/>
                    </w:rPr>
                    <w:t>El actor popular sostiene cementos argos está</w:t>
                  </w:r>
                  <w:r w:rsidR="0013022A" w:rsidRPr="001C1CF2">
                    <w:rPr>
                      <w:rFonts w:ascii="Arial Narrow" w:hAnsi="Arial Narrow" w:cs="Arial"/>
                    </w:rPr>
                    <w:t xml:space="preserve"> </w:t>
                  </w:r>
                  <w:r w:rsidR="00BB2376" w:rsidRPr="001C1CF2">
                    <w:rPr>
                      <w:rFonts w:ascii="Arial Narrow" w:eastAsiaTheme="minorHAnsi" w:hAnsi="Arial Narrow" w:cs="Calibri"/>
                    </w:rPr>
                    <w:t>ocupando y</w:t>
                  </w:r>
                  <w:r w:rsidR="00BB2376" w:rsidRPr="001C1CF2">
                    <w:rPr>
                      <w:rFonts w:ascii="Arial Narrow" w:hAnsi="Arial Narrow" w:cs="Arial"/>
                    </w:rPr>
                    <w:t xml:space="preserve"> </w:t>
                  </w:r>
                  <w:r w:rsidR="00BB2376" w:rsidRPr="001C1CF2">
                    <w:rPr>
                      <w:rFonts w:ascii="Arial Narrow" w:eastAsiaTheme="minorHAnsi" w:hAnsi="Arial Narrow" w:cs="Calibri"/>
                    </w:rPr>
                    <w:t>poseyendo en su beneficio</w:t>
                  </w:r>
                  <w:r w:rsidR="00BB2376" w:rsidRPr="001C1CF2">
                    <w:rPr>
                      <w:rFonts w:ascii="Arial Narrow" w:eastAsiaTheme="minorHAnsi" w:hAnsi="Arial Narrow" w:cs="Calibri"/>
                    </w:rPr>
                    <w:t xml:space="preserve"> </w:t>
                  </w:r>
                  <w:r w:rsidR="00BB2376" w:rsidRPr="001C1CF2">
                    <w:rPr>
                      <w:rFonts w:ascii="Arial Narrow" w:eastAsiaTheme="minorHAnsi" w:hAnsi="Arial Narrow" w:cs="Calibri"/>
                    </w:rPr>
                    <w:t>ilegalmente tres (3) predios rurales colindantes entre sí de</w:t>
                  </w:r>
                  <w:r w:rsidR="00BB2376" w:rsidRPr="001C1CF2">
                    <w:rPr>
                      <w:rFonts w:ascii="Arial Narrow" w:hAnsi="Arial Narrow" w:cs="Arial"/>
                    </w:rPr>
                    <w:t xml:space="preserve"> </w:t>
                  </w:r>
                  <w:r w:rsidR="00BB2376" w:rsidRPr="001C1CF2">
                    <w:rPr>
                      <w:rFonts w:ascii="Arial Narrow" w:eastAsiaTheme="minorHAnsi" w:hAnsi="Arial Narrow" w:cs="Calibri"/>
                    </w:rPr>
                    <w:t>400 hectáreas de propiedad de la Nación por extinción de</w:t>
                  </w:r>
                  <w:r w:rsidR="00BB2376" w:rsidRPr="001C1CF2">
                    <w:rPr>
                      <w:rFonts w:ascii="Arial Narrow" w:eastAsiaTheme="minorHAnsi" w:hAnsi="Arial Narrow" w:cs="Calibri"/>
                    </w:rPr>
                    <w:t xml:space="preserve"> </w:t>
                  </w:r>
                  <w:r w:rsidR="00BB2376" w:rsidRPr="001C1CF2">
                    <w:rPr>
                      <w:rFonts w:ascii="Arial Narrow" w:eastAsiaTheme="minorHAnsi" w:hAnsi="Arial Narrow" w:cs="Calibri"/>
                    </w:rPr>
                    <w:t>dominio que a ella se le</w:t>
                  </w:r>
                  <w:r w:rsidR="00BB2376" w:rsidRPr="001C1CF2">
                    <w:rPr>
                      <w:rFonts w:ascii="Arial Narrow" w:eastAsiaTheme="minorHAnsi" w:hAnsi="Arial Narrow" w:cs="Calibri"/>
                    </w:rPr>
                    <w:t xml:space="preserve"> </w:t>
                  </w:r>
                  <w:r w:rsidR="00BB2376" w:rsidRPr="001C1CF2">
                    <w:rPr>
                      <w:rFonts w:ascii="Arial Narrow" w:eastAsiaTheme="minorHAnsi" w:hAnsi="Arial Narrow" w:cs="Calibri"/>
                    </w:rPr>
                    <w:t>hizo mediante resolución 5937 de 14/09/1964 del INCORA</w:t>
                  </w:r>
                </w:p>
                <w:p w14:paraId="28D75BA1" w14:textId="77777777" w:rsidR="005805F1" w:rsidRPr="001C1CF2" w:rsidRDefault="005805F1" w:rsidP="00066F28">
                  <w:pPr>
                    <w:tabs>
                      <w:tab w:val="left" w:pos="7513"/>
                    </w:tabs>
                    <w:jc w:val="both"/>
                    <w:rPr>
                      <w:rFonts w:ascii="Arial Narrow" w:hAnsi="Arial Narrow"/>
                    </w:rPr>
                  </w:pPr>
                </w:p>
              </w:tc>
              <w:tc>
                <w:tcPr>
                  <w:tcW w:w="3275" w:type="dxa"/>
                </w:tcPr>
                <w:p w14:paraId="68E2F578"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Tipo de acción o medio de control</w:t>
                  </w:r>
                </w:p>
                <w:p w14:paraId="65EFEF75" w14:textId="77777777" w:rsidR="005805F1" w:rsidRPr="001C1CF2" w:rsidRDefault="005805F1" w:rsidP="00066F28">
                  <w:pPr>
                    <w:tabs>
                      <w:tab w:val="left" w:pos="7513"/>
                    </w:tabs>
                    <w:jc w:val="both"/>
                    <w:rPr>
                      <w:rFonts w:ascii="Arial Narrow" w:hAnsi="Arial Narrow" w:cs="Arial"/>
                    </w:rPr>
                  </w:pPr>
                </w:p>
                <w:p w14:paraId="40C246CD" w14:textId="77777777" w:rsidR="005805F1" w:rsidRPr="001C1CF2" w:rsidRDefault="005805F1" w:rsidP="00066F28">
                  <w:pPr>
                    <w:tabs>
                      <w:tab w:val="left" w:pos="7513"/>
                    </w:tabs>
                    <w:jc w:val="both"/>
                    <w:rPr>
                      <w:rFonts w:ascii="Arial Narrow" w:hAnsi="Arial Narrow" w:cs="Arial"/>
                    </w:rPr>
                  </w:pPr>
                </w:p>
                <w:p w14:paraId="46766C7D" w14:textId="77777777" w:rsidR="005805F1" w:rsidRPr="001C1CF2" w:rsidRDefault="006F2919" w:rsidP="00066F28">
                  <w:pPr>
                    <w:tabs>
                      <w:tab w:val="left" w:pos="7513"/>
                    </w:tabs>
                    <w:jc w:val="both"/>
                    <w:rPr>
                      <w:rFonts w:ascii="Arial Narrow" w:hAnsi="Arial Narrow" w:cs="Arial"/>
                    </w:rPr>
                  </w:pPr>
                  <w:r w:rsidRPr="001C1CF2">
                    <w:rPr>
                      <w:rFonts w:ascii="Arial Narrow" w:hAnsi="Arial Narrow" w:cs="Arial"/>
                    </w:rPr>
                    <w:t>Acción popular</w:t>
                  </w:r>
                </w:p>
                <w:p w14:paraId="7A8C941C" w14:textId="77777777" w:rsidR="001C1CF2" w:rsidRPr="001C1CF2" w:rsidRDefault="001C1CF2" w:rsidP="00066F28">
                  <w:pPr>
                    <w:tabs>
                      <w:tab w:val="left" w:pos="7513"/>
                    </w:tabs>
                    <w:jc w:val="both"/>
                    <w:rPr>
                      <w:rFonts w:ascii="Arial Narrow" w:hAnsi="Arial Narrow" w:cs="Arial"/>
                    </w:rPr>
                  </w:pPr>
                </w:p>
                <w:p w14:paraId="78230481" w14:textId="7E1AE297" w:rsidR="001C1CF2" w:rsidRPr="001C1CF2" w:rsidRDefault="001C1CF2" w:rsidP="00066F28">
                  <w:pPr>
                    <w:tabs>
                      <w:tab w:val="left" w:pos="7513"/>
                    </w:tabs>
                    <w:jc w:val="both"/>
                    <w:rPr>
                      <w:rFonts w:ascii="Arial Narrow" w:hAnsi="Arial Narrow" w:cs="Arial"/>
                    </w:rPr>
                  </w:pPr>
                  <w:r w:rsidRPr="001C1CF2">
                    <w:rPr>
                      <w:rFonts w:ascii="Arial Narrow" w:hAnsi="Arial Narrow" w:cs="Arial"/>
                    </w:rPr>
                    <w:t xml:space="preserve">Audiencia de pacto de cumplimiento fijada para el próximo 16 de abril de 2026 ante el Tribunal Administrativo del Atlántico. Exp. No. </w:t>
                  </w:r>
                  <w:r w:rsidRPr="001C1CF2">
                    <w:rPr>
                      <w:rFonts w:ascii="Arial Narrow" w:hAnsi="Arial Narrow"/>
                    </w:rPr>
                    <w:t>08-001-23-33-000-2025-00302-00</w:t>
                  </w:r>
                </w:p>
              </w:tc>
              <w:tc>
                <w:tcPr>
                  <w:tcW w:w="3275" w:type="dxa"/>
                </w:tcPr>
                <w:p w14:paraId="7270C77D"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Tipo de acción o medio de control</w:t>
                  </w:r>
                </w:p>
                <w:p w14:paraId="6BA205B6" w14:textId="77777777" w:rsidR="005805F1" w:rsidRPr="001C1CF2" w:rsidRDefault="005805F1" w:rsidP="00066F28">
                  <w:pPr>
                    <w:tabs>
                      <w:tab w:val="left" w:pos="7513"/>
                    </w:tabs>
                    <w:jc w:val="both"/>
                    <w:rPr>
                      <w:rFonts w:ascii="Arial Narrow" w:hAnsi="Arial Narrow" w:cs="Arial"/>
                    </w:rPr>
                  </w:pPr>
                </w:p>
                <w:p w14:paraId="41C20856" w14:textId="77777777" w:rsidR="005805F1" w:rsidRPr="001C1CF2" w:rsidRDefault="005805F1" w:rsidP="00066F28">
                  <w:pPr>
                    <w:tabs>
                      <w:tab w:val="left" w:pos="7513"/>
                    </w:tabs>
                    <w:jc w:val="both"/>
                    <w:rPr>
                      <w:rFonts w:ascii="Arial Narrow" w:hAnsi="Arial Narrow" w:cs="Arial"/>
                    </w:rPr>
                  </w:pPr>
                </w:p>
                <w:p w14:paraId="4BC69067"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Controversias Contractuales</w:t>
                  </w:r>
                </w:p>
                <w:p w14:paraId="1B9E8BFF" w14:textId="77777777" w:rsidR="005805F1" w:rsidRPr="001C1CF2" w:rsidRDefault="005805F1" w:rsidP="00066F28">
                  <w:pPr>
                    <w:tabs>
                      <w:tab w:val="left" w:pos="7513"/>
                    </w:tabs>
                    <w:jc w:val="both"/>
                    <w:rPr>
                      <w:rFonts w:ascii="Arial Narrow" w:hAnsi="Arial Narrow" w:cs="Arial"/>
                    </w:rPr>
                  </w:pPr>
                </w:p>
              </w:tc>
            </w:tr>
          </w:tbl>
          <w:p w14:paraId="000F650D" w14:textId="2BF186F3"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Convocante</w:t>
            </w:r>
            <w:r w:rsidR="006F2919" w:rsidRPr="001C1CF2">
              <w:rPr>
                <w:rFonts w:ascii="Arial Narrow" w:hAnsi="Arial Narrow" w:cs="Arial"/>
              </w:rPr>
              <w:t>:</w:t>
            </w:r>
          </w:p>
          <w:p w14:paraId="696098DD" w14:textId="7127F71D" w:rsidR="00A56F07" w:rsidRPr="001C1CF2" w:rsidRDefault="00A56F07" w:rsidP="00066F28">
            <w:pPr>
              <w:autoSpaceDE w:val="0"/>
              <w:autoSpaceDN w:val="0"/>
              <w:adjustRightInd w:val="0"/>
              <w:jc w:val="both"/>
              <w:rPr>
                <w:rFonts w:ascii="Arial Narrow" w:eastAsiaTheme="minorHAnsi" w:hAnsi="Arial Narrow" w:cs="Calibri"/>
              </w:rPr>
            </w:pPr>
            <w:r w:rsidRPr="001C1CF2">
              <w:rPr>
                <w:rFonts w:ascii="Arial Narrow" w:eastAsiaTheme="minorHAnsi" w:hAnsi="Arial Narrow" w:cs="Calibri"/>
              </w:rPr>
              <w:t>Reinaldo de Jesús Gutiérrez García</w:t>
            </w:r>
          </w:p>
          <w:p w14:paraId="16F296D3" w14:textId="47AB2F2E" w:rsidR="006F2919" w:rsidRPr="001C1CF2" w:rsidRDefault="00A56F07" w:rsidP="00066F28">
            <w:pPr>
              <w:autoSpaceDE w:val="0"/>
              <w:autoSpaceDN w:val="0"/>
              <w:adjustRightInd w:val="0"/>
              <w:jc w:val="both"/>
              <w:rPr>
                <w:rFonts w:ascii="Arial Narrow" w:eastAsiaTheme="minorHAnsi" w:hAnsi="Arial Narrow" w:cs="Calibri"/>
              </w:rPr>
            </w:pPr>
            <w:r w:rsidRPr="001C1CF2">
              <w:rPr>
                <w:rFonts w:ascii="Arial Narrow" w:eastAsiaTheme="minorHAnsi" w:hAnsi="Arial Narrow" w:cs="Calibri"/>
              </w:rPr>
              <w:t xml:space="preserve">C. C. No. </w:t>
            </w:r>
            <w:r w:rsidRPr="001C1CF2">
              <w:rPr>
                <w:rFonts w:ascii="Arial Narrow" w:eastAsiaTheme="minorHAnsi" w:hAnsi="Arial Narrow" w:cs="Calibri"/>
              </w:rPr>
              <w:t>70123819,</w:t>
            </w:r>
          </w:p>
          <w:p w14:paraId="478CD3CB" w14:textId="77777777" w:rsidR="005805F1" w:rsidRPr="001C1CF2" w:rsidRDefault="005805F1" w:rsidP="00066F28">
            <w:pPr>
              <w:tabs>
                <w:tab w:val="left" w:pos="7513"/>
              </w:tabs>
              <w:jc w:val="both"/>
              <w:rPr>
                <w:rFonts w:ascii="Arial Narrow" w:hAnsi="Arial Narrow" w:cs="Arial"/>
              </w:rPr>
            </w:pPr>
          </w:p>
          <w:p w14:paraId="00A5E300"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Convocado:</w:t>
            </w:r>
          </w:p>
          <w:p w14:paraId="770218B7" w14:textId="77777777" w:rsidR="005805F1" w:rsidRPr="001C1CF2" w:rsidRDefault="005805F1" w:rsidP="00066F28">
            <w:pPr>
              <w:tabs>
                <w:tab w:val="left" w:pos="7513"/>
              </w:tabs>
              <w:jc w:val="both"/>
              <w:rPr>
                <w:rFonts w:ascii="Arial Narrow" w:hAnsi="Arial Narrow" w:cs="Arial"/>
                <w:color w:val="000000" w:themeColor="text1"/>
              </w:rPr>
            </w:pPr>
            <w:r w:rsidRPr="001C1CF2">
              <w:rPr>
                <w:rFonts w:ascii="Arial Narrow" w:hAnsi="Arial Narrow" w:cs="Arial"/>
                <w:color w:val="000000" w:themeColor="text1"/>
              </w:rPr>
              <w:t xml:space="preserve">Superintendencia de Notariado y Registro. </w:t>
            </w:r>
          </w:p>
          <w:p w14:paraId="267B1AA5" w14:textId="77777777" w:rsidR="005805F1" w:rsidRPr="001C1CF2" w:rsidRDefault="005805F1" w:rsidP="00066F28">
            <w:pPr>
              <w:jc w:val="both"/>
              <w:rPr>
                <w:rFonts w:ascii="Arial Narrow" w:hAnsi="Arial Narrow" w:cs="Arial"/>
                <w:color w:val="000000" w:themeColor="text1"/>
                <w:shd w:val="clear" w:color="auto" w:fill="FFFFFF"/>
              </w:rPr>
            </w:pPr>
            <w:r w:rsidRPr="001C1CF2">
              <w:rPr>
                <w:rFonts w:ascii="Arial Narrow" w:hAnsi="Arial Narrow" w:cs="Arial"/>
                <w:color w:val="000000" w:themeColor="text1"/>
              </w:rPr>
              <w:t xml:space="preserve">Nit. </w:t>
            </w:r>
            <w:r w:rsidRPr="001C1CF2">
              <w:rPr>
                <w:rFonts w:ascii="Arial Narrow" w:hAnsi="Arial Narrow" w:cs="Arial"/>
                <w:color w:val="000000" w:themeColor="text1"/>
                <w:shd w:val="clear" w:color="auto" w:fill="FFFFFF"/>
              </w:rPr>
              <w:t>899999007-0</w:t>
            </w:r>
          </w:p>
          <w:p w14:paraId="5BB9FC30" w14:textId="77777777" w:rsidR="005805F1" w:rsidRPr="001C1CF2" w:rsidRDefault="005805F1" w:rsidP="00066F28">
            <w:pPr>
              <w:tabs>
                <w:tab w:val="left" w:pos="7513"/>
              </w:tabs>
              <w:jc w:val="both"/>
              <w:rPr>
                <w:rFonts w:ascii="Arial Narrow" w:hAnsi="Arial Narrow" w:cs="Arial"/>
              </w:rPr>
            </w:pPr>
          </w:p>
          <w:p w14:paraId="090CABE3"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Apoderado:</w:t>
            </w:r>
          </w:p>
          <w:p w14:paraId="462ACCE6"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Grégory de Jesús Torregrosa Rebolledo</w:t>
            </w:r>
          </w:p>
          <w:p w14:paraId="73037E8D"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C. C. No. 80.240.346</w:t>
            </w:r>
          </w:p>
          <w:p w14:paraId="681ACFBF" w14:textId="5151D043" w:rsidR="0013022A" w:rsidRPr="001C1CF2" w:rsidRDefault="005805F1" w:rsidP="00066F28">
            <w:pPr>
              <w:pStyle w:val="NormalWeb"/>
              <w:spacing w:before="0" w:beforeAutospacing="0" w:after="0" w:afterAutospacing="0"/>
              <w:jc w:val="both"/>
              <w:rPr>
                <w:rFonts w:ascii="Arial Narrow" w:hAnsi="Arial Narrow" w:cs="Arial"/>
              </w:rPr>
            </w:pPr>
            <w:r w:rsidRPr="001C1CF2">
              <w:rPr>
                <w:rFonts w:ascii="Arial Narrow" w:hAnsi="Arial Narrow" w:cs="Arial"/>
              </w:rPr>
              <w:t>T.P. No.140.546</w:t>
            </w:r>
          </w:p>
        </w:tc>
      </w:tr>
      <w:tr w:rsidR="005805F1" w:rsidRPr="001C1CF2" w14:paraId="1A6B528C" w14:textId="77777777" w:rsidTr="00796BB3">
        <w:trPr>
          <w:trHeight w:val="330"/>
        </w:trPr>
        <w:tc>
          <w:tcPr>
            <w:tcW w:w="9782" w:type="dxa"/>
            <w:tcBorders>
              <w:top w:val="double" w:sz="4" w:space="0" w:color="auto"/>
              <w:left w:val="double" w:sz="4" w:space="0" w:color="auto"/>
              <w:bottom w:val="single" w:sz="4" w:space="0" w:color="auto"/>
              <w:right w:val="double" w:sz="4" w:space="0" w:color="auto"/>
            </w:tcBorders>
            <w:shd w:val="clear" w:color="auto" w:fill="BFBFBF"/>
          </w:tcPr>
          <w:p w14:paraId="1C3AE4E1"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DESCRIPCIÓN DE LA SOLICITUD</w:t>
            </w:r>
          </w:p>
        </w:tc>
      </w:tr>
      <w:tr w:rsidR="005805F1" w:rsidRPr="001C1CF2" w14:paraId="64571D2D" w14:textId="77777777" w:rsidTr="00796BB3">
        <w:trPr>
          <w:trHeight w:val="2119"/>
        </w:trPr>
        <w:tc>
          <w:tcPr>
            <w:tcW w:w="9782" w:type="dxa"/>
            <w:tcBorders>
              <w:top w:val="single" w:sz="4" w:space="0" w:color="auto"/>
              <w:left w:val="double" w:sz="4" w:space="0" w:color="auto"/>
              <w:bottom w:val="single" w:sz="4" w:space="0" w:color="auto"/>
              <w:right w:val="double" w:sz="4" w:space="0" w:color="auto"/>
            </w:tcBorders>
          </w:tcPr>
          <w:p w14:paraId="224A914A" w14:textId="77777777" w:rsidR="005805F1" w:rsidRPr="001C1CF2" w:rsidRDefault="005805F1" w:rsidP="00066F28">
            <w:pPr>
              <w:tabs>
                <w:tab w:val="left" w:pos="7513"/>
              </w:tabs>
              <w:jc w:val="both"/>
              <w:rPr>
                <w:rFonts w:ascii="Arial Narrow" w:hAnsi="Arial Narrow" w:cs="Arial"/>
              </w:rPr>
            </w:pPr>
          </w:p>
          <w:p w14:paraId="3FDAF52E" w14:textId="77777777" w:rsidR="000E24E3" w:rsidRPr="001C1CF2" w:rsidRDefault="005805F1" w:rsidP="00066F28">
            <w:pPr>
              <w:pStyle w:val="Prrafodelista"/>
              <w:numPr>
                <w:ilvl w:val="0"/>
                <w:numId w:val="4"/>
              </w:numPr>
              <w:tabs>
                <w:tab w:val="left" w:pos="7513"/>
              </w:tabs>
              <w:jc w:val="both"/>
              <w:rPr>
                <w:rFonts w:ascii="Arial Narrow" w:hAnsi="Arial Narrow" w:cs="Arial"/>
              </w:rPr>
            </w:pPr>
            <w:r w:rsidRPr="001C1CF2">
              <w:rPr>
                <w:rFonts w:ascii="Arial Narrow" w:hAnsi="Arial Narrow" w:cs="Arial"/>
              </w:rPr>
              <w:t xml:space="preserve">PRETENSIONES DE LA </w:t>
            </w:r>
            <w:r w:rsidR="00A56F07" w:rsidRPr="001C1CF2">
              <w:rPr>
                <w:rFonts w:ascii="Arial Narrow" w:hAnsi="Arial Narrow" w:cs="Arial"/>
              </w:rPr>
              <w:t>ACCIÓN POPULAR</w:t>
            </w:r>
          </w:p>
          <w:p w14:paraId="4D54DBEA" w14:textId="77777777" w:rsidR="000E24E3" w:rsidRPr="001C1CF2" w:rsidRDefault="000E24E3" w:rsidP="00066F28">
            <w:pPr>
              <w:pStyle w:val="Prrafodelista"/>
              <w:tabs>
                <w:tab w:val="left" w:pos="7513"/>
              </w:tabs>
              <w:jc w:val="both"/>
              <w:rPr>
                <w:rFonts w:ascii="Arial Narrow" w:hAnsi="Arial Narrow" w:cs="Arial"/>
              </w:rPr>
            </w:pPr>
          </w:p>
          <w:p w14:paraId="0D86ADB5" w14:textId="5E4F8476" w:rsidR="000E24E3" w:rsidRPr="001C1CF2" w:rsidRDefault="000E24E3" w:rsidP="00066F28">
            <w:pPr>
              <w:pStyle w:val="Prrafodelista"/>
              <w:numPr>
                <w:ilvl w:val="0"/>
                <w:numId w:val="5"/>
              </w:numPr>
              <w:tabs>
                <w:tab w:val="left" w:pos="7513"/>
              </w:tabs>
              <w:jc w:val="both"/>
              <w:rPr>
                <w:rFonts w:ascii="Arial Narrow" w:eastAsiaTheme="minorHAnsi" w:hAnsi="Arial Narrow" w:cs="Calibri"/>
              </w:rPr>
            </w:pPr>
            <w:r w:rsidRPr="001C1CF2">
              <w:rPr>
                <w:rFonts w:ascii="Arial Narrow" w:eastAsiaTheme="minorHAnsi" w:hAnsi="Arial Narrow" w:cs="Calibri"/>
              </w:rPr>
              <w:t>Declarar mediante sentencia de mérito (art. 34 ley 472/1998), que la accionada</w:t>
            </w:r>
            <w:r w:rsidRPr="001C1CF2">
              <w:rPr>
                <w:rFonts w:ascii="Arial Narrow" w:hAnsi="Arial Narrow" w:cs="Arial"/>
              </w:rPr>
              <w:t xml:space="preserve"> </w:t>
            </w:r>
            <w:r w:rsidRPr="001C1CF2">
              <w:rPr>
                <w:rFonts w:ascii="Arial Narrow" w:eastAsiaTheme="minorHAnsi" w:hAnsi="Arial Narrow" w:cs="Calibri"/>
              </w:rPr>
              <w:t xml:space="preserve">ARGOS S.A. con NIT 8901002510, </w:t>
            </w:r>
            <w:r w:rsidRPr="001C1CF2">
              <w:rPr>
                <w:rFonts w:ascii="Arial Narrow" w:eastAsiaTheme="minorHAnsi" w:hAnsi="Arial Narrow" w:cs="Calibri-Bold"/>
                <w:b/>
                <w:bCs/>
              </w:rPr>
              <w:t xml:space="preserve">ilegalmente </w:t>
            </w:r>
            <w:r w:rsidRPr="001C1CF2">
              <w:rPr>
                <w:rFonts w:ascii="Arial Narrow" w:eastAsiaTheme="minorHAnsi" w:hAnsi="Arial Narrow" w:cs="Calibri"/>
              </w:rPr>
              <w:t>está ocupando y poseyendo en</w:t>
            </w:r>
            <w:r w:rsidRPr="001C1CF2">
              <w:rPr>
                <w:rFonts w:ascii="Arial Narrow" w:hAnsi="Arial Narrow" w:cs="Arial"/>
              </w:rPr>
              <w:t xml:space="preserve"> </w:t>
            </w:r>
            <w:r w:rsidRPr="001C1CF2">
              <w:rPr>
                <w:rFonts w:ascii="Arial Narrow" w:eastAsiaTheme="minorHAnsi" w:hAnsi="Arial Narrow" w:cs="Calibri"/>
              </w:rPr>
              <w:t>calidad de propietaria en dominio pleno, un bien de uso público y el patrimonio</w:t>
            </w:r>
            <w:r w:rsidRPr="001C1CF2">
              <w:rPr>
                <w:rFonts w:ascii="Arial Narrow" w:hAnsi="Arial Narrow" w:cs="Arial"/>
              </w:rPr>
              <w:t xml:space="preserve"> </w:t>
            </w:r>
            <w:r w:rsidRPr="001C1CF2">
              <w:rPr>
                <w:rFonts w:ascii="Arial Narrow" w:eastAsiaTheme="minorHAnsi" w:hAnsi="Arial Narrow" w:cs="Calibri"/>
              </w:rPr>
              <w:t>público de la Nación sobre tres predios de uso y patrimonio público con M.I. 019-</w:t>
            </w:r>
            <w:r w:rsidRPr="001C1CF2">
              <w:rPr>
                <w:rFonts w:ascii="Arial Narrow" w:hAnsi="Arial Narrow" w:cs="Arial"/>
              </w:rPr>
              <w:t xml:space="preserve"> </w:t>
            </w:r>
            <w:r w:rsidRPr="001C1CF2">
              <w:rPr>
                <w:rFonts w:ascii="Arial Narrow" w:eastAsiaTheme="minorHAnsi" w:hAnsi="Arial Narrow" w:cs="Calibri"/>
              </w:rPr>
              <w:t>394, 019-398 Y 019-399, ubicados en el corregimiento la Sierra del municipio de</w:t>
            </w:r>
            <w:r w:rsidRPr="001C1CF2">
              <w:rPr>
                <w:rFonts w:ascii="Arial Narrow" w:hAnsi="Arial Narrow" w:cs="Arial"/>
              </w:rPr>
              <w:t xml:space="preserve"> </w:t>
            </w:r>
            <w:r w:rsidRPr="001C1CF2">
              <w:rPr>
                <w:rFonts w:ascii="Arial Narrow" w:eastAsiaTheme="minorHAnsi" w:hAnsi="Arial Narrow" w:cs="Calibri"/>
              </w:rPr>
              <w:t xml:space="preserve">Puerto Nare, Antioquia, inmersos por englobe ilícito dentro del predio </w:t>
            </w:r>
            <w:r w:rsidRPr="001C1CF2">
              <w:rPr>
                <w:rFonts w:ascii="Arial Narrow" w:eastAsiaTheme="minorHAnsi" w:hAnsi="Arial Narrow" w:cs="Calibri-Bold"/>
                <w:b/>
                <w:bCs/>
              </w:rPr>
              <w:t>019-895</w:t>
            </w:r>
            <w:r w:rsidRPr="001C1CF2">
              <w:rPr>
                <w:rFonts w:ascii="Arial Narrow" w:eastAsiaTheme="minorHAnsi" w:hAnsi="Arial Narrow" w:cs="Calibri"/>
              </w:rPr>
              <w:t>.</w:t>
            </w:r>
          </w:p>
          <w:p w14:paraId="79F9F4F5" w14:textId="77777777" w:rsidR="0013022A" w:rsidRPr="001C1CF2" w:rsidRDefault="0013022A" w:rsidP="00066F28">
            <w:pPr>
              <w:pStyle w:val="Prrafodelista"/>
              <w:tabs>
                <w:tab w:val="left" w:pos="7513"/>
              </w:tabs>
              <w:jc w:val="both"/>
              <w:rPr>
                <w:rFonts w:ascii="Arial Narrow" w:eastAsiaTheme="minorHAnsi" w:hAnsi="Arial Narrow" w:cs="Calibri"/>
              </w:rPr>
            </w:pPr>
          </w:p>
          <w:p w14:paraId="7CA330C6" w14:textId="77777777" w:rsidR="001C1CF2" w:rsidRPr="001C1CF2" w:rsidRDefault="000E24E3" w:rsidP="00066F28">
            <w:pPr>
              <w:pStyle w:val="Prrafodelista"/>
              <w:numPr>
                <w:ilvl w:val="0"/>
                <w:numId w:val="5"/>
              </w:numPr>
              <w:tabs>
                <w:tab w:val="left" w:pos="7513"/>
              </w:tabs>
              <w:jc w:val="both"/>
              <w:rPr>
                <w:rFonts w:ascii="Arial Narrow" w:hAnsi="Arial Narrow" w:cs="Arial"/>
              </w:rPr>
            </w:pPr>
            <w:r w:rsidRPr="001C1CF2">
              <w:rPr>
                <w:rFonts w:ascii="Arial Narrow" w:eastAsiaTheme="minorHAnsi" w:hAnsi="Arial Narrow" w:cs="Calibri"/>
              </w:rPr>
              <w:t>Ordenar a la compañía ARGOS S.A. o a quien alegue ser adquirente directo o</w:t>
            </w:r>
            <w:r w:rsidR="002A2C00" w:rsidRPr="001C1CF2">
              <w:rPr>
                <w:rFonts w:ascii="Arial Narrow" w:eastAsiaTheme="minorHAnsi" w:hAnsi="Arial Narrow" w:cs="Calibri"/>
              </w:rPr>
              <w:t xml:space="preserve"> </w:t>
            </w:r>
            <w:r w:rsidRPr="001C1CF2">
              <w:rPr>
                <w:rFonts w:ascii="Arial Narrow" w:eastAsiaTheme="minorHAnsi" w:hAnsi="Arial Narrow" w:cs="Calibri"/>
              </w:rPr>
              <w:t>indirecto, la restitución inmediata a la Nación de los tres predios inenajebles,</w:t>
            </w:r>
            <w:r w:rsidR="002A2C00" w:rsidRPr="001C1CF2">
              <w:rPr>
                <w:rFonts w:ascii="Arial Narrow" w:eastAsiaTheme="minorHAnsi" w:hAnsi="Arial Narrow" w:cs="Calibri"/>
              </w:rPr>
              <w:t xml:space="preserve"> </w:t>
            </w:r>
            <w:r w:rsidRPr="001C1CF2">
              <w:rPr>
                <w:rFonts w:ascii="Arial Narrow" w:eastAsiaTheme="minorHAnsi" w:hAnsi="Arial Narrow" w:cs="Calibri"/>
              </w:rPr>
              <w:t>inembargables e imprescriptibles que se identificaron con matrícula inmobiliaria</w:t>
            </w:r>
            <w:r w:rsidR="002A2C00" w:rsidRPr="001C1CF2">
              <w:rPr>
                <w:rFonts w:ascii="Arial Narrow" w:eastAsiaTheme="minorHAnsi" w:hAnsi="Arial Narrow" w:cs="Calibri"/>
              </w:rPr>
              <w:t xml:space="preserve"> </w:t>
            </w:r>
            <w:r w:rsidRPr="001C1CF2">
              <w:rPr>
                <w:rFonts w:ascii="Arial Narrow" w:eastAsiaTheme="minorHAnsi" w:hAnsi="Arial Narrow" w:cs="Calibri"/>
              </w:rPr>
              <w:t>019-394, 019-398 y 019-399, que por ella fueron ( i ) i l í ci tamente adquiridos,</w:t>
            </w:r>
            <w:r w:rsidR="002A2C00" w:rsidRPr="001C1CF2">
              <w:rPr>
                <w:rFonts w:ascii="Arial Narrow" w:eastAsiaTheme="minorHAnsi" w:hAnsi="Arial Narrow" w:cs="Calibri"/>
              </w:rPr>
              <w:t xml:space="preserve"> </w:t>
            </w:r>
            <w:r w:rsidRPr="001C1CF2">
              <w:rPr>
                <w:rFonts w:ascii="Arial Narrow" w:eastAsiaTheme="minorHAnsi" w:hAnsi="Arial Narrow" w:cs="Calibri"/>
              </w:rPr>
              <w:t>mediante escritura pública 3088 de 30/07/1972 de la Notaría Quinta de Medellin,</w:t>
            </w:r>
            <w:r w:rsidR="002A2C00" w:rsidRPr="001C1CF2">
              <w:rPr>
                <w:rFonts w:ascii="Arial Narrow" w:eastAsiaTheme="minorHAnsi" w:hAnsi="Arial Narrow" w:cs="Calibri"/>
              </w:rPr>
              <w:t xml:space="preserve"> </w:t>
            </w:r>
            <w:r w:rsidRPr="001C1CF2">
              <w:rPr>
                <w:rFonts w:ascii="Arial Narrow" w:eastAsiaTheme="minorHAnsi" w:hAnsi="Arial Narrow" w:cs="Calibri"/>
              </w:rPr>
              <w:t>(ii) posteriormente ilegalmente englobados e irregularmente registrados en un</w:t>
            </w:r>
            <w:r w:rsidR="002A2C00" w:rsidRPr="001C1CF2">
              <w:rPr>
                <w:rFonts w:ascii="Arial Narrow" w:eastAsiaTheme="minorHAnsi" w:hAnsi="Arial Narrow" w:cs="Calibri"/>
              </w:rPr>
              <w:t xml:space="preserve"> </w:t>
            </w:r>
            <w:r w:rsidRPr="001C1CF2">
              <w:rPr>
                <w:rFonts w:ascii="Arial Narrow" w:eastAsiaTheme="minorHAnsi" w:hAnsi="Arial Narrow" w:cs="Calibri"/>
              </w:rPr>
              <w:t>único predio en pleno dominio, mediante escritura pública 933 del 09/05/1980 de</w:t>
            </w:r>
            <w:r w:rsidR="002A2C00" w:rsidRPr="001C1CF2">
              <w:rPr>
                <w:rFonts w:ascii="Arial Narrow" w:eastAsiaTheme="minorHAnsi" w:hAnsi="Arial Narrow" w:cs="Calibri"/>
              </w:rPr>
              <w:t xml:space="preserve"> </w:t>
            </w:r>
            <w:r w:rsidRPr="001C1CF2">
              <w:rPr>
                <w:rFonts w:ascii="Arial Narrow" w:eastAsiaTheme="minorHAnsi" w:hAnsi="Arial Narrow" w:cs="Calibri"/>
              </w:rPr>
              <w:t>la Notaría Segunda de Medellin, generando la matrícula inmobiliaria 019-895 de la</w:t>
            </w:r>
            <w:r w:rsidR="002A2C00" w:rsidRPr="001C1CF2">
              <w:rPr>
                <w:rFonts w:ascii="Arial Narrow" w:eastAsiaTheme="minorHAnsi" w:hAnsi="Arial Narrow" w:cs="Calibri"/>
              </w:rPr>
              <w:t xml:space="preserve"> </w:t>
            </w:r>
            <w:r w:rsidRPr="001C1CF2">
              <w:rPr>
                <w:rFonts w:ascii="Arial Narrow" w:eastAsiaTheme="minorHAnsi" w:hAnsi="Arial Narrow" w:cs="Calibri"/>
              </w:rPr>
              <w:t>ORIP Puerto Berrio.</w:t>
            </w:r>
          </w:p>
          <w:p w14:paraId="1B931D5F" w14:textId="77777777" w:rsidR="001C1CF2" w:rsidRPr="001C1CF2" w:rsidRDefault="001C1CF2" w:rsidP="00066F28">
            <w:pPr>
              <w:pStyle w:val="Prrafodelista"/>
              <w:jc w:val="both"/>
              <w:rPr>
                <w:rFonts w:ascii="Arial Narrow" w:eastAsiaTheme="minorHAnsi" w:hAnsi="Arial Narrow" w:cs="Calibri"/>
              </w:rPr>
            </w:pPr>
          </w:p>
          <w:p w14:paraId="2D7DE95E" w14:textId="07C8CB09" w:rsidR="001C1CF2" w:rsidRPr="001C1CF2" w:rsidRDefault="001C1CF2" w:rsidP="00066F28">
            <w:pPr>
              <w:pStyle w:val="Prrafodelista"/>
              <w:numPr>
                <w:ilvl w:val="0"/>
                <w:numId w:val="5"/>
              </w:numPr>
              <w:tabs>
                <w:tab w:val="left" w:pos="7513"/>
              </w:tabs>
              <w:jc w:val="both"/>
              <w:rPr>
                <w:rFonts w:ascii="Arial Narrow" w:hAnsi="Arial Narrow" w:cs="Arial"/>
              </w:rPr>
            </w:pPr>
            <w:r w:rsidRPr="001C1CF2">
              <w:rPr>
                <w:rFonts w:ascii="Arial Narrow" w:eastAsiaTheme="minorHAnsi" w:hAnsi="Arial Narrow" w:cs="Calibri"/>
              </w:rPr>
              <w:t>Que se declare que son inoponibles al Estado, las escrituras, contratos, convenios,</w:t>
            </w:r>
            <w:r w:rsidRPr="001C1CF2">
              <w:rPr>
                <w:rFonts w:ascii="Arial Narrow" w:eastAsiaTheme="minorHAnsi" w:hAnsi="Arial Narrow" w:cs="Calibri"/>
              </w:rPr>
              <w:t xml:space="preserve"> </w:t>
            </w:r>
            <w:r w:rsidRPr="001C1CF2">
              <w:rPr>
                <w:rFonts w:ascii="Arial Narrow" w:eastAsiaTheme="minorHAnsi" w:hAnsi="Arial Narrow" w:cs="Calibri"/>
              </w:rPr>
              <w:t>pactos o similares, que tengan por finalidad establecer propiedad privada sobre</w:t>
            </w:r>
            <w:r w:rsidRPr="001C1CF2">
              <w:rPr>
                <w:rFonts w:ascii="Arial Narrow" w:eastAsiaTheme="minorHAnsi" w:hAnsi="Arial Narrow" w:cs="Calibri"/>
              </w:rPr>
              <w:t xml:space="preserve"> </w:t>
            </w:r>
            <w:r w:rsidRPr="001C1CF2">
              <w:rPr>
                <w:rFonts w:ascii="Arial Narrow" w:eastAsiaTheme="minorHAnsi" w:hAnsi="Arial Narrow" w:cs="Calibri"/>
              </w:rPr>
              <w:t>estos predios que se identificaban con M.I. 019-394, 019-398 Y 019-399 hoy</w:t>
            </w:r>
            <w:r w:rsidRPr="001C1CF2">
              <w:rPr>
                <w:rFonts w:ascii="Arial Narrow" w:eastAsiaTheme="minorHAnsi" w:hAnsi="Arial Narrow" w:cs="Calibri"/>
              </w:rPr>
              <w:t xml:space="preserve"> </w:t>
            </w:r>
            <w:r w:rsidRPr="001C1CF2">
              <w:rPr>
                <w:rFonts w:ascii="Arial Narrow" w:eastAsiaTheme="minorHAnsi" w:hAnsi="Arial Narrow" w:cs="Calibri"/>
              </w:rPr>
              <w:t>inmersos dentro del predio con folio de M.I. 019-895 de la ORIP Puerto Berrio,</w:t>
            </w:r>
            <w:r w:rsidRPr="001C1CF2">
              <w:rPr>
                <w:rFonts w:ascii="Arial Narrow" w:eastAsiaTheme="minorHAnsi" w:hAnsi="Arial Narrow" w:cs="Calibri"/>
              </w:rPr>
              <w:t xml:space="preserve"> </w:t>
            </w:r>
            <w:r w:rsidRPr="001C1CF2">
              <w:rPr>
                <w:rFonts w:ascii="Arial Narrow" w:eastAsiaTheme="minorHAnsi" w:hAnsi="Arial Narrow" w:cs="Calibri"/>
              </w:rPr>
              <w:t>Antioquia.</w:t>
            </w:r>
          </w:p>
          <w:p w14:paraId="4ABAC03F" w14:textId="77777777" w:rsidR="00A56F07" w:rsidRPr="001C1CF2" w:rsidRDefault="00A56F07" w:rsidP="00066F28">
            <w:pPr>
              <w:pStyle w:val="Prrafodelista"/>
              <w:tabs>
                <w:tab w:val="left" w:pos="7513"/>
              </w:tabs>
              <w:ind w:left="0"/>
              <w:jc w:val="both"/>
              <w:rPr>
                <w:rFonts w:ascii="Arial Narrow" w:hAnsi="Arial Narrow" w:cs="Arial"/>
              </w:rPr>
            </w:pPr>
          </w:p>
          <w:p w14:paraId="662E6038" w14:textId="437F6103" w:rsidR="005805F1" w:rsidRDefault="005805F1" w:rsidP="00066F28">
            <w:pPr>
              <w:pStyle w:val="Prrafodelista"/>
              <w:numPr>
                <w:ilvl w:val="0"/>
                <w:numId w:val="4"/>
              </w:numPr>
              <w:tabs>
                <w:tab w:val="left" w:pos="7513"/>
              </w:tabs>
              <w:jc w:val="both"/>
              <w:rPr>
                <w:rFonts w:ascii="Arial Narrow" w:hAnsi="Arial Narrow" w:cs="Arial"/>
              </w:rPr>
            </w:pPr>
            <w:r w:rsidRPr="001C1CF2">
              <w:rPr>
                <w:rFonts w:ascii="Arial Narrow" w:hAnsi="Arial Narrow" w:cs="Arial"/>
              </w:rPr>
              <w:t>HECHOS</w:t>
            </w:r>
          </w:p>
          <w:p w14:paraId="71B83969" w14:textId="77777777" w:rsidR="00452EEF" w:rsidRDefault="00452EEF" w:rsidP="00066F28">
            <w:pPr>
              <w:tabs>
                <w:tab w:val="left" w:pos="7513"/>
              </w:tabs>
              <w:ind w:left="360"/>
              <w:jc w:val="both"/>
              <w:rPr>
                <w:rFonts w:ascii="Arial Narrow" w:hAnsi="Arial Narrow" w:cs="Arial"/>
              </w:rPr>
            </w:pPr>
          </w:p>
          <w:p w14:paraId="6B8D0A4F" w14:textId="5047AB90" w:rsidR="00AB5F08" w:rsidRDefault="00452EEF" w:rsidP="00066F28">
            <w:pPr>
              <w:tabs>
                <w:tab w:val="left" w:pos="7513"/>
              </w:tabs>
              <w:jc w:val="both"/>
              <w:rPr>
                <w:rFonts w:ascii="Arial Narrow" w:hAnsi="Arial Narrow" w:cs="Arial"/>
              </w:rPr>
            </w:pPr>
            <w:r>
              <w:rPr>
                <w:rFonts w:ascii="Arial Narrow" w:hAnsi="Arial Narrow" w:cs="Arial"/>
              </w:rPr>
              <w:t>Se resumen así:</w:t>
            </w:r>
          </w:p>
          <w:p w14:paraId="18FFA7C2" w14:textId="77777777" w:rsidR="00AD592A" w:rsidRDefault="00AD592A" w:rsidP="00066F28">
            <w:pPr>
              <w:tabs>
                <w:tab w:val="left" w:pos="7513"/>
              </w:tabs>
              <w:jc w:val="both"/>
              <w:rPr>
                <w:rFonts w:ascii="Arial Narrow" w:hAnsi="Arial Narrow" w:cs="Arial"/>
              </w:rPr>
            </w:pPr>
          </w:p>
          <w:p w14:paraId="542F4484" w14:textId="77777777" w:rsidR="00AD592A" w:rsidRDefault="00AD592A" w:rsidP="00066F28">
            <w:pPr>
              <w:autoSpaceDE w:val="0"/>
              <w:autoSpaceDN w:val="0"/>
              <w:adjustRightInd w:val="0"/>
              <w:jc w:val="both"/>
              <w:rPr>
                <w:rFonts w:ascii="Calibri-Bold" w:hAnsi="Calibri-Bold" w:cs="Calibri-Bold"/>
                <w:b/>
                <w:bCs/>
              </w:rPr>
            </w:pPr>
            <w:r>
              <w:rPr>
                <w:rFonts w:ascii="Calibri-Bold" w:hAnsi="Calibri-Bold" w:cs="Calibri-Bold"/>
                <w:b/>
                <w:bCs/>
              </w:rPr>
              <w:t>HECHOS</w:t>
            </w:r>
          </w:p>
          <w:p w14:paraId="346457AB" w14:textId="77777777" w:rsidR="00AD592A" w:rsidRDefault="00AD592A" w:rsidP="00066F28">
            <w:pPr>
              <w:autoSpaceDE w:val="0"/>
              <w:autoSpaceDN w:val="0"/>
              <w:adjustRightInd w:val="0"/>
              <w:jc w:val="both"/>
              <w:rPr>
                <w:rFonts w:ascii="Calibri-Bold" w:hAnsi="Calibri-Bold" w:cs="Calibri-Bold"/>
                <w:b/>
                <w:bCs/>
              </w:rPr>
            </w:pPr>
          </w:p>
          <w:p w14:paraId="0883FB30"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1. “CEMENTOS ARGOS S.A. con domicilio en la ciudad de Medellin (antes Sociedad Mármoles y Cementos Nare S.A.), viola los citados derechos colectivos por cuanto (i) está ocupando y poseyendo en su beneficio ilegalmente tres (3) predios rurales colindantes entre sí de 400 hectáreas, (ii) de propiedad de la Nación por extinción de dominio que a ella se le hizo mediante resolución 5937 de 14/09/1964 del INCORA, ubicados en el corregimiento La Sierra del municipio de Puerto Nare (otrora corregimiento del municipio de Pto Berrio, Antioquia), (iii) generando la demandada un uso exclusivamente privado sobre área afectada al uso y patrimonio público; predios que, a sabiendas que no eran privados, ilícitamente los compró a </w:t>
            </w:r>
            <w:r>
              <w:rPr>
                <w:rFonts w:ascii="Calibri-Bold" w:hAnsi="Calibri-Bold" w:cs="Calibri-Bold"/>
                <w:b/>
                <w:bCs/>
              </w:rPr>
              <w:t xml:space="preserve">PEDRO GUTIERREZ BERRIO </w:t>
            </w:r>
            <w:r>
              <w:rPr>
                <w:rFonts w:ascii="Calibri" w:hAnsi="Calibri" w:cs="Calibri"/>
              </w:rPr>
              <w:t xml:space="preserve">y luego englobó con otros predios de propiedad de la citada empresa, (iv) generando el folio de M.I. </w:t>
            </w:r>
            <w:r>
              <w:rPr>
                <w:rFonts w:ascii="Calibri-Bold" w:hAnsi="Calibri-Bold" w:cs="Calibri-Bold"/>
                <w:b/>
                <w:bCs/>
              </w:rPr>
              <w:t>019-</w:t>
            </w:r>
            <w:r>
              <w:rPr>
                <w:rFonts w:ascii="Calibri" w:hAnsi="Calibri" w:cs="Calibri"/>
              </w:rPr>
              <w:t xml:space="preserve"> </w:t>
            </w:r>
            <w:r>
              <w:rPr>
                <w:rFonts w:ascii="Calibri-Bold" w:hAnsi="Calibri-Bold" w:cs="Calibri-Bold"/>
                <w:b/>
                <w:bCs/>
              </w:rPr>
              <w:t xml:space="preserve">895 </w:t>
            </w:r>
            <w:r>
              <w:rPr>
                <w:rFonts w:ascii="Calibri" w:hAnsi="Calibri" w:cs="Calibri"/>
              </w:rPr>
              <w:t>de la Oficina de Registro de Instrumentos Públicos de Puerto Berrio.</w:t>
            </w:r>
          </w:p>
          <w:p w14:paraId="4A481F87" w14:textId="77777777" w:rsidR="00AD592A" w:rsidRDefault="00AD592A" w:rsidP="00066F28">
            <w:pPr>
              <w:autoSpaceDE w:val="0"/>
              <w:autoSpaceDN w:val="0"/>
              <w:adjustRightInd w:val="0"/>
              <w:jc w:val="both"/>
              <w:rPr>
                <w:rFonts w:ascii="Calibri" w:hAnsi="Calibri" w:cs="Calibri"/>
              </w:rPr>
            </w:pPr>
          </w:p>
          <w:p w14:paraId="4BEE55A2"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2. La Superintendencia de Notariado y Registro por intermedio de la Oficina de Registro de Instrumentos Públicos de Puerto Berrío, accedió a registrar indebidamente las escrituras públicas </w:t>
            </w:r>
            <w:r>
              <w:rPr>
                <w:rFonts w:ascii="Calibri" w:hAnsi="Calibri" w:cs="Calibri"/>
              </w:rPr>
              <w:lastRenderedPageBreak/>
              <w:t>de (i) compraventa y (ii) la de posterior englobe, en consecuencia accediendo a otorgarle folio de matrícula inmobiliaria (019-394, 019-398 y 019399), dando visos de legalidad a la privación del patrimonio público y bienes de uso público de la Nación.</w:t>
            </w:r>
          </w:p>
          <w:p w14:paraId="11580EA8" w14:textId="77777777" w:rsidR="00AD592A" w:rsidRDefault="00AD592A" w:rsidP="00066F28">
            <w:pPr>
              <w:autoSpaceDE w:val="0"/>
              <w:autoSpaceDN w:val="0"/>
              <w:adjustRightInd w:val="0"/>
              <w:jc w:val="both"/>
              <w:rPr>
                <w:rFonts w:ascii="Calibri" w:hAnsi="Calibri" w:cs="Calibri"/>
              </w:rPr>
            </w:pPr>
          </w:p>
          <w:p w14:paraId="7A36FE99"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3. Según la publicidad que hoy brinda el Certificado de tradición y Libertad, a la fecha CEMENTOS ARGOS S.A. tiene la propiedad exclusiva en pleno dominio sobre estos tres predios (019-394, 019-398 y 019-399) inmersos en el folio de </w:t>
            </w:r>
            <w:r>
              <w:rPr>
                <w:rFonts w:ascii="Calibri-Bold" w:hAnsi="Calibri-Bold" w:cs="Calibri-Bold"/>
                <w:b/>
                <w:bCs/>
              </w:rPr>
              <w:t>M.I. 019-895</w:t>
            </w:r>
            <w:r>
              <w:rPr>
                <w:rFonts w:ascii="Calibri" w:hAnsi="Calibri" w:cs="Calibri"/>
              </w:rPr>
              <w:t>, producto de haber sido idebidamente englobados con otros predios, estos sí, de su exclusiva propiedad, mediante escritura pública y solicitando su registro ante la Oficina de Registro de Instrumentos públicos de Pto Berrío (</w:t>
            </w:r>
            <w:hyperlink r:id="rId7" w:history="1">
              <w:r w:rsidRPr="00C608E1">
                <w:rPr>
                  <w:rStyle w:val="Hipervnculo"/>
                  <w:rFonts w:ascii="Calibri" w:hAnsi="Calibri" w:cs="Calibri"/>
                </w:rPr>
                <w:t>notificaciones.juridica@supernotariado.gov.co</w:t>
              </w:r>
            </w:hyperlink>
            <w:r>
              <w:rPr>
                <w:rFonts w:ascii="Calibri" w:hAnsi="Calibri" w:cs="Calibri"/>
              </w:rPr>
              <w:t>).</w:t>
            </w:r>
          </w:p>
          <w:p w14:paraId="2AD21CEF" w14:textId="77777777" w:rsidR="00AD592A" w:rsidRDefault="00AD592A" w:rsidP="00066F28">
            <w:pPr>
              <w:autoSpaceDE w:val="0"/>
              <w:autoSpaceDN w:val="0"/>
              <w:adjustRightInd w:val="0"/>
              <w:jc w:val="both"/>
              <w:rPr>
                <w:rFonts w:ascii="Calibri" w:hAnsi="Calibri" w:cs="Calibri"/>
              </w:rPr>
            </w:pPr>
          </w:p>
          <w:p w14:paraId="59ACBF49"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4. Los tres predios citados hacían parte del área objeto de extinción de dominio que el INCORA le hizo a la citada empresa, mediante resolución No 5937 de 14/09/1964, en la que se determina que estos predios venían siendo ocupados y explotados, por el colono </w:t>
            </w:r>
            <w:r>
              <w:rPr>
                <w:rFonts w:ascii="Calibri-Bold" w:hAnsi="Calibri-Bold" w:cs="Calibri-Bold"/>
                <w:b/>
                <w:bCs/>
              </w:rPr>
              <w:t>PEDRO GUTIERREZ (</w:t>
            </w:r>
            <w:r>
              <w:rPr>
                <w:rFonts w:ascii="Calibri" w:hAnsi="Calibri" w:cs="Calibri"/>
              </w:rPr>
              <w:t>q.e.p.d.)</w:t>
            </w:r>
            <w:r>
              <w:rPr>
                <w:rFonts w:ascii="Calibri-Bold" w:hAnsi="Calibri-Bold" w:cs="Calibri-Bold"/>
                <w:b/>
                <w:bCs/>
              </w:rPr>
              <w:t xml:space="preserve">, </w:t>
            </w:r>
            <w:r>
              <w:rPr>
                <w:rFonts w:ascii="Calibri" w:hAnsi="Calibri" w:cs="Calibri"/>
              </w:rPr>
              <w:t xml:space="preserve">colindantes con la </w:t>
            </w:r>
            <w:r>
              <w:rPr>
                <w:rFonts w:ascii="Calibri-Bold" w:hAnsi="Calibri-Bold" w:cs="Calibri-Bold"/>
                <w:b/>
                <w:bCs/>
              </w:rPr>
              <w:t xml:space="preserve">HACIENDA CASANARE </w:t>
            </w:r>
            <w:r>
              <w:rPr>
                <w:rFonts w:ascii="Calibri" w:hAnsi="Calibri" w:cs="Calibri"/>
              </w:rPr>
              <w:t>de propiedad de la demandada (hoy CEMENTOS ARGOS S.A.).</w:t>
            </w:r>
          </w:p>
          <w:p w14:paraId="533331C7" w14:textId="77777777" w:rsidR="00AD592A" w:rsidRDefault="00AD592A" w:rsidP="00066F28">
            <w:pPr>
              <w:autoSpaceDE w:val="0"/>
              <w:autoSpaceDN w:val="0"/>
              <w:adjustRightInd w:val="0"/>
              <w:jc w:val="both"/>
              <w:rPr>
                <w:rFonts w:ascii="Calibri" w:hAnsi="Calibri" w:cs="Calibri"/>
              </w:rPr>
            </w:pPr>
          </w:p>
          <w:p w14:paraId="6E098C76"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5. Mediante oficio de fecha 17/11/2023 la </w:t>
            </w:r>
            <w:r>
              <w:rPr>
                <w:rFonts w:ascii="Calibri-Bold" w:hAnsi="Calibri-Bold" w:cs="Calibri-Bold"/>
                <w:b/>
                <w:bCs/>
              </w:rPr>
              <w:t>Subdirección por Demanda y Descongestión</w:t>
            </w:r>
            <w:r>
              <w:rPr>
                <w:rFonts w:ascii="Calibri" w:hAnsi="Calibri" w:cs="Calibri"/>
              </w:rPr>
              <w:t xml:space="preserve"> </w:t>
            </w:r>
            <w:r>
              <w:rPr>
                <w:rFonts w:ascii="Calibri-Bold" w:hAnsi="Calibri-Bold" w:cs="Calibri-Bold"/>
                <w:b/>
                <w:bCs/>
              </w:rPr>
              <w:t xml:space="preserve">de la Agencia Nacional de Tierras </w:t>
            </w:r>
            <w:r>
              <w:rPr>
                <w:rFonts w:ascii="Calibri" w:hAnsi="Calibri" w:cs="Calibri"/>
              </w:rPr>
              <w:t>(jurídica.ant@ant.gov.co), me informa que en el Sistema Integrado de Tierras SIT, no se observan registros o trámites de acceso a tierras o relacionados con el señor PEDRO ANTONIO GUTIERREZ BERRIO, quien en vida se identificó con el número de cédula de ciudadanía 622249 (…)”.</w:t>
            </w:r>
          </w:p>
          <w:p w14:paraId="7F5E7DA7" w14:textId="77777777" w:rsidR="00AD592A" w:rsidRDefault="00AD592A" w:rsidP="00066F28">
            <w:pPr>
              <w:autoSpaceDE w:val="0"/>
              <w:autoSpaceDN w:val="0"/>
              <w:adjustRightInd w:val="0"/>
              <w:jc w:val="both"/>
              <w:rPr>
                <w:rFonts w:ascii="Calibri" w:hAnsi="Calibri" w:cs="Calibri"/>
              </w:rPr>
            </w:pPr>
          </w:p>
          <w:p w14:paraId="67077A5C"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6. </w:t>
            </w:r>
            <w:r>
              <w:rPr>
                <w:rFonts w:ascii="Calibri-Bold" w:hAnsi="Calibri-Bold" w:cs="Calibri-Bold"/>
                <w:b/>
                <w:bCs/>
              </w:rPr>
              <w:t xml:space="preserve">Catastro Departamental de Antioquia </w:t>
            </w:r>
            <w:r>
              <w:rPr>
                <w:rFonts w:ascii="Calibri" w:hAnsi="Calibri" w:cs="Calibri"/>
              </w:rPr>
              <w:t>(</w:t>
            </w:r>
            <w:hyperlink r:id="rId8" w:history="1">
              <w:r w:rsidRPr="00C608E1">
                <w:rPr>
                  <w:rStyle w:val="Hipervnculo"/>
                  <w:rFonts w:ascii="Calibri" w:hAnsi="Calibri" w:cs="Calibri"/>
                </w:rPr>
                <w:t>notificacionesjudiciales@antioquia.gov.co</w:t>
              </w:r>
            </w:hyperlink>
            <w:r>
              <w:rPr>
                <w:rFonts w:ascii="Calibri" w:hAnsi="Calibri" w:cs="Calibri"/>
              </w:rPr>
              <w:t xml:space="preserve">) expide ficha predial 17103209 de 15/10/2024, del predio con M.I. </w:t>
            </w:r>
            <w:r>
              <w:rPr>
                <w:rFonts w:ascii="Calibri-Bold" w:hAnsi="Calibri-Bold" w:cs="Calibri-Bold"/>
                <w:b/>
                <w:bCs/>
              </w:rPr>
              <w:t xml:space="preserve">019-895 </w:t>
            </w:r>
            <w:r>
              <w:rPr>
                <w:rFonts w:ascii="Calibri" w:hAnsi="Calibri" w:cs="Calibri"/>
              </w:rPr>
              <w:t xml:space="preserve">reflejando </w:t>
            </w:r>
            <w:r>
              <w:rPr>
                <w:rFonts w:ascii="Calibri-Bold" w:hAnsi="Calibri-Bold" w:cs="Calibri-Bold"/>
                <w:b/>
                <w:bCs/>
              </w:rPr>
              <w:t xml:space="preserve">mayúsculas inconsistencias </w:t>
            </w:r>
            <w:r>
              <w:rPr>
                <w:rFonts w:ascii="Calibri" w:hAnsi="Calibri" w:cs="Calibri"/>
              </w:rPr>
              <w:t xml:space="preserve">en (i) la ubicación, (ii) el área y (iii) los planos; presentando incoherencia en la interrelación Catastro - Registro, ya que mientras el predio en la realidad y en registro siempre ha figurado como </w:t>
            </w:r>
            <w:r>
              <w:rPr>
                <w:rFonts w:ascii="Calibri-Bold" w:hAnsi="Calibri-Bold" w:cs="Calibri-Bold"/>
                <w:b/>
                <w:bCs/>
              </w:rPr>
              <w:t>rural</w:t>
            </w:r>
            <w:r>
              <w:rPr>
                <w:rFonts w:ascii="Calibri" w:hAnsi="Calibri" w:cs="Calibri"/>
              </w:rPr>
              <w:t xml:space="preserve">, Catastro lo ubica como </w:t>
            </w:r>
            <w:r>
              <w:rPr>
                <w:rFonts w:ascii="Calibri-Bold" w:hAnsi="Calibri-Bold" w:cs="Calibri-Bold"/>
                <w:b/>
                <w:bCs/>
              </w:rPr>
              <w:t xml:space="preserve">urbano </w:t>
            </w:r>
            <w:r>
              <w:rPr>
                <w:rFonts w:ascii="Calibri" w:hAnsi="Calibri" w:cs="Calibri"/>
              </w:rPr>
              <w:t>con un área mínima de 570 metros cuadrados. (ver ficha predial)</w:t>
            </w:r>
          </w:p>
          <w:p w14:paraId="24EDFDA8" w14:textId="77777777" w:rsidR="00AD592A" w:rsidRDefault="00AD592A" w:rsidP="00066F28">
            <w:pPr>
              <w:autoSpaceDE w:val="0"/>
              <w:autoSpaceDN w:val="0"/>
              <w:adjustRightInd w:val="0"/>
              <w:jc w:val="both"/>
              <w:rPr>
                <w:rFonts w:ascii="Calibri" w:hAnsi="Calibri" w:cs="Calibri"/>
              </w:rPr>
            </w:pPr>
            <w:r>
              <w:rPr>
                <w:rFonts w:ascii="Calibri" w:hAnsi="Calibri" w:cs="Calibri"/>
              </w:rPr>
              <w:t>7. La pluricitada citada resolución 5937 de 14/09/</w:t>
            </w:r>
            <w:r>
              <w:rPr>
                <w:rFonts w:ascii="Calibri-Bold" w:hAnsi="Calibri-Bold" w:cs="Calibri-Bold"/>
                <w:b/>
                <w:bCs/>
              </w:rPr>
              <w:t xml:space="preserve">1964 </w:t>
            </w:r>
            <w:r>
              <w:rPr>
                <w:rFonts w:ascii="Calibri" w:hAnsi="Calibri" w:cs="Calibri"/>
              </w:rPr>
              <w:t>(punto 1.), en su artículo primero</w:t>
            </w:r>
          </w:p>
          <w:p w14:paraId="5928CE87" w14:textId="77777777" w:rsidR="00AD592A" w:rsidRDefault="00AD592A" w:rsidP="00066F28">
            <w:pPr>
              <w:autoSpaceDE w:val="0"/>
              <w:autoSpaceDN w:val="0"/>
              <w:adjustRightInd w:val="0"/>
              <w:jc w:val="both"/>
              <w:rPr>
                <w:rFonts w:ascii="Calibri" w:hAnsi="Calibri" w:cs="Calibri"/>
              </w:rPr>
            </w:pPr>
            <w:r>
              <w:rPr>
                <w:rFonts w:ascii="Calibri" w:hAnsi="Calibri" w:cs="Calibri"/>
              </w:rPr>
              <w:t>de la parte resolutiva dispuso:</w:t>
            </w:r>
          </w:p>
          <w:p w14:paraId="0D87E93D" w14:textId="77777777" w:rsidR="00AD592A" w:rsidRDefault="00AD592A" w:rsidP="00066F28">
            <w:pPr>
              <w:autoSpaceDE w:val="0"/>
              <w:autoSpaceDN w:val="0"/>
              <w:adjustRightInd w:val="0"/>
              <w:jc w:val="both"/>
              <w:rPr>
                <w:rFonts w:ascii="Calibri" w:hAnsi="Calibri" w:cs="Calibri"/>
              </w:rPr>
            </w:pPr>
          </w:p>
          <w:p w14:paraId="320B749F" w14:textId="77777777" w:rsidR="00AD592A" w:rsidRDefault="00AD592A" w:rsidP="00066F28">
            <w:pPr>
              <w:autoSpaceDE w:val="0"/>
              <w:autoSpaceDN w:val="0"/>
              <w:adjustRightInd w:val="0"/>
              <w:jc w:val="both"/>
              <w:rPr>
                <w:rFonts w:ascii="Calibri" w:hAnsi="Calibri" w:cs="Calibri"/>
              </w:rPr>
            </w:pPr>
            <w:r w:rsidRPr="0066690D">
              <w:rPr>
                <w:rFonts w:ascii="Calibri" w:hAnsi="Calibri" w:cs="Calibri"/>
                <w:noProof/>
              </w:rPr>
              <w:drawing>
                <wp:inline distT="0" distB="0" distL="0" distR="0" wp14:anchorId="69F34114" wp14:editId="34147E46">
                  <wp:extent cx="2889250" cy="1003300"/>
                  <wp:effectExtent l="0" t="0" r="6350" b="635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9250" cy="1003300"/>
                          </a:xfrm>
                          <a:prstGeom prst="rect">
                            <a:avLst/>
                          </a:prstGeom>
                          <a:noFill/>
                          <a:ln>
                            <a:noFill/>
                          </a:ln>
                        </pic:spPr>
                      </pic:pic>
                    </a:graphicData>
                  </a:graphic>
                </wp:inline>
              </w:drawing>
            </w:r>
          </w:p>
          <w:p w14:paraId="7C85B8B9" w14:textId="77777777" w:rsidR="00AD592A" w:rsidRDefault="00AD592A" w:rsidP="00066F28">
            <w:pPr>
              <w:autoSpaceDE w:val="0"/>
              <w:autoSpaceDN w:val="0"/>
              <w:adjustRightInd w:val="0"/>
              <w:jc w:val="both"/>
              <w:rPr>
                <w:rFonts w:ascii="Calibri" w:hAnsi="Calibri" w:cs="Calibri"/>
              </w:rPr>
            </w:pPr>
          </w:p>
          <w:p w14:paraId="310C7D8E" w14:textId="77777777" w:rsidR="00AD592A" w:rsidRPr="0066690D" w:rsidRDefault="00AD592A" w:rsidP="00066F28">
            <w:pPr>
              <w:autoSpaceDE w:val="0"/>
              <w:autoSpaceDN w:val="0"/>
              <w:adjustRightInd w:val="0"/>
              <w:jc w:val="both"/>
              <w:rPr>
                <w:rFonts w:ascii="Calibri" w:hAnsi="Calibri" w:cs="Calibri"/>
              </w:rPr>
            </w:pPr>
            <w:r>
              <w:rPr>
                <w:rFonts w:ascii="Calibri" w:hAnsi="Calibri" w:cs="Calibri"/>
              </w:rPr>
              <w:t xml:space="preserve">8. Por escritura pública 3.088 de 30/06/1.972 de la Notaria Quinta de Medellin, </w:t>
            </w:r>
            <w:r>
              <w:rPr>
                <w:rFonts w:ascii="Calibri-Bold" w:hAnsi="Calibri-Bold" w:cs="Calibri-Bold"/>
                <w:b/>
                <w:bCs/>
              </w:rPr>
              <w:t>PEDRO</w:t>
            </w:r>
          </w:p>
          <w:p w14:paraId="47397D3D" w14:textId="77777777" w:rsidR="00AD592A" w:rsidRDefault="00AD592A" w:rsidP="00066F28">
            <w:pPr>
              <w:autoSpaceDE w:val="0"/>
              <w:autoSpaceDN w:val="0"/>
              <w:adjustRightInd w:val="0"/>
              <w:jc w:val="both"/>
              <w:rPr>
                <w:rFonts w:ascii="Calibri" w:hAnsi="Calibri" w:cs="Calibri"/>
              </w:rPr>
            </w:pPr>
            <w:r>
              <w:rPr>
                <w:rFonts w:ascii="Calibri-Bold" w:hAnsi="Calibri-Bold" w:cs="Calibri-Bold"/>
                <w:b/>
                <w:bCs/>
              </w:rPr>
              <w:lastRenderedPageBreak/>
              <w:t>GUTIERREZ BERRIO</w:t>
            </w:r>
            <w:r>
              <w:rPr>
                <w:rFonts w:ascii="Calibri" w:hAnsi="Calibri" w:cs="Calibri"/>
              </w:rPr>
              <w:t xml:space="preserve">, identificado con cédula de ciudadanía 622.249, vendió los pluricitados tres predios con 400 hectáreas aproximadamente (LA ESTRELLA, EL RETIRO y LA SIRENA), colindantes entre sí, a la </w:t>
            </w:r>
            <w:r>
              <w:rPr>
                <w:rFonts w:ascii="Calibri-Bold" w:hAnsi="Calibri-Bold" w:cs="Calibri-Bold"/>
                <w:b/>
                <w:bCs/>
              </w:rPr>
              <w:t>SOCIEDAD MARMOLES Y CEMENTOS NARE S.A.</w:t>
            </w:r>
            <w:r>
              <w:rPr>
                <w:rFonts w:ascii="Calibri" w:hAnsi="Calibri" w:cs="Calibri"/>
              </w:rPr>
              <w:t xml:space="preserve"> (</w:t>
            </w:r>
            <w:r>
              <w:rPr>
                <w:rFonts w:ascii="Calibri-Bold" w:hAnsi="Calibri-Bold" w:cs="Calibri-Bold"/>
                <w:b/>
                <w:bCs/>
              </w:rPr>
              <w:t>hoy ARGOS S.A</w:t>
            </w:r>
            <w:r>
              <w:rPr>
                <w:rFonts w:ascii="Calibri" w:hAnsi="Calibri" w:cs="Calibri"/>
              </w:rPr>
              <w:t>.), los cuales pertenecían a la Nación comprendidos dentro del área de 1.748 hectáreas, indicada en la parte motiva y resolutiva de la resolución en cita.</w:t>
            </w:r>
          </w:p>
          <w:p w14:paraId="03866009" w14:textId="77777777" w:rsidR="00AD592A" w:rsidRDefault="00AD592A" w:rsidP="00066F28">
            <w:pPr>
              <w:autoSpaceDE w:val="0"/>
              <w:autoSpaceDN w:val="0"/>
              <w:adjustRightInd w:val="0"/>
              <w:jc w:val="both"/>
              <w:rPr>
                <w:rFonts w:ascii="Calibri" w:hAnsi="Calibri" w:cs="Calibri"/>
              </w:rPr>
            </w:pPr>
          </w:p>
          <w:p w14:paraId="551EE8B3"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9. En la precitada compraventa el vendedor manifiesta que uno de los predios, </w:t>
            </w:r>
            <w:r>
              <w:rPr>
                <w:rFonts w:ascii="Calibri-Bold" w:hAnsi="Calibri-Bold" w:cs="Calibri-Bold"/>
                <w:b/>
                <w:bCs/>
              </w:rPr>
              <w:t>LA SIRENA</w:t>
            </w:r>
            <w:r>
              <w:rPr>
                <w:rFonts w:ascii="Calibri" w:hAnsi="Calibri" w:cs="Calibri"/>
              </w:rPr>
              <w:t>, colinda con la hacienda “</w:t>
            </w:r>
            <w:r>
              <w:rPr>
                <w:rFonts w:ascii="Calibri-Bold" w:hAnsi="Calibri-Bold" w:cs="Calibri-Bold"/>
                <w:b/>
                <w:bCs/>
              </w:rPr>
              <w:t>CASANARE</w:t>
            </w:r>
            <w:r>
              <w:rPr>
                <w:rFonts w:ascii="Calibri" w:hAnsi="Calibri" w:cs="Calibri"/>
              </w:rPr>
              <w:t xml:space="preserve">” de propiedad de la empresa compradora. A los tres predios se les abrió matrícula inmobiliaria en el nuevo sistema de registro (Dto 1250 de 1970), figurando la Sociedad Mármoles y Cementos Nare S.A como propietaria en falsa tradición con los números de matrícula inmobiliaria </w:t>
            </w:r>
            <w:r>
              <w:rPr>
                <w:rFonts w:ascii="Calibri-Bold" w:hAnsi="Calibri-Bold" w:cs="Calibri-Bold"/>
                <w:b/>
                <w:bCs/>
              </w:rPr>
              <w:t>019-394 , 019-398 y 019-399</w:t>
            </w:r>
            <w:r>
              <w:rPr>
                <w:rFonts w:ascii="Calibri" w:hAnsi="Calibri" w:cs="Calibri"/>
              </w:rPr>
              <w:t>.</w:t>
            </w:r>
          </w:p>
          <w:p w14:paraId="1DD1F40B" w14:textId="77777777" w:rsidR="00AD592A" w:rsidRDefault="00AD592A" w:rsidP="00066F28">
            <w:pPr>
              <w:autoSpaceDE w:val="0"/>
              <w:autoSpaceDN w:val="0"/>
              <w:adjustRightInd w:val="0"/>
              <w:jc w:val="both"/>
              <w:rPr>
                <w:rFonts w:ascii="Calibri" w:hAnsi="Calibri" w:cs="Calibri"/>
              </w:rPr>
            </w:pPr>
          </w:p>
          <w:p w14:paraId="1A8C1BBF"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10. Con anterioridad la resolución de extinción de dominio: El predio </w:t>
            </w:r>
            <w:r>
              <w:rPr>
                <w:rFonts w:ascii="Calibri-Bold" w:hAnsi="Calibri-Bold" w:cs="Calibri-Bold"/>
                <w:b/>
                <w:bCs/>
              </w:rPr>
              <w:t>LA ESTRELLA (019-394)</w:t>
            </w:r>
            <w:r>
              <w:rPr>
                <w:rFonts w:ascii="Calibri" w:hAnsi="Calibri" w:cs="Calibri"/>
              </w:rPr>
              <w:t>, contaba con datos de registro en el antiguo sistema registral de la ORIP de Pto Berrio (ley 40 de 1932), de las escrituras públicas de compraventa de posesión 377 de 14/10/1957 Notaria Unica de Cisneros y 48 de 08/03/1948 de la Notaria Unica de Puerto Berrio.</w:t>
            </w:r>
          </w:p>
          <w:p w14:paraId="0C112862" w14:textId="77777777" w:rsidR="00AD592A" w:rsidRDefault="00AD592A" w:rsidP="00066F28">
            <w:pPr>
              <w:autoSpaceDE w:val="0"/>
              <w:autoSpaceDN w:val="0"/>
              <w:adjustRightInd w:val="0"/>
              <w:jc w:val="both"/>
              <w:rPr>
                <w:rFonts w:ascii="Calibri" w:hAnsi="Calibri" w:cs="Calibri"/>
              </w:rPr>
            </w:pPr>
          </w:p>
          <w:p w14:paraId="094701B6"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El predio </w:t>
            </w:r>
            <w:r>
              <w:rPr>
                <w:rFonts w:ascii="Calibri-Bold" w:hAnsi="Calibri-Bold" w:cs="Calibri-Bold"/>
                <w:b/>
                <w:bCs/>
              </w:rPr>
              <w:t>EL RETIRO (019-398)</w:t>
            </w:r>
            <w:r>
              <w:rPr>
                <w:rFonts w:ascii="Calibri" w:hAnsi="Calibri" w:cs="Calibri"/>
              </w:rPr>
              <w:t xml:space="preserve">, contaba con datos de registro en el antiguo sistema registral de la ORIP DE Pto Berrio (ley 40 de 1932), mediante la escritura pública de compraventa de posesión 559 del 26/11/1959 de la NOTARIA UNICA DE CISNEROS. </w:t>
            </w:r>
          </w:p>
          <w:p w14:paraId="041948E3" w14:textId="77777777" w:rsidR="00AD592A" w:rsidRDefault="00AD592A" w:rsidP="00066F28">
            <w:pPr>
              <w:autoSpaceDE w:val="0"/>
              <w:autoSpaceDN w:val="0"/>
              <w:adjustRightInd w:val="0"/>
              <w:jc w:val="both"/>
              <w:rPr>
                <w:rFonts w:ascii="Calibri" w:hAnsi="Calibri" w:cs="Calibri"/>
              </w:rPr>
            </w:pPr>
          </w:p>
          <w:p w14:paraId="590DCE8E"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El predio </w:t>
            </w:r>
            <w:r>
              <w:rPr>
                <w:rFonts w:ascii="Calibri-Bold" w:hAnsi="Calibri-Bold" w:cs="Calibri-Bold"/>
                <w:b/>
                <w:bCs/>
              </w:rPr>
              <w:t>LA SIRENA (019-399)</w:t>
            </w:r>
            <w:r>
              <w:rPr>
                <w:rFonts w:ascii="Calibri" w:hAnsi="Calibri" w:cs="Calibri"/>
              </w:rPr>
              <w:t>, no contaba con datos de registro en la ORIP de Pto Berrio.</w:t>
            </w:r>
          </w:p>
          <w:p w14:paraId="01BA103B" w14:textId="77777777" w:rsidR="00AD592A" w:rsidRDefault="00AD592A" w:rsidP="00066F28">
            <w:pPr>
              <w:autoSpaceDE w:val="0"/>
              <w:autoSpaceDN w:val="0"/>
              <w:adjustRightInd w:val="0"/>
              <w:jc w:val="both"/>
              <w:rPr>
                <w:rFonts w:ascii="Calibri" w:hAnsi="Calibri" w:cs="Calibri"/>
              </w:rPr>
            </w:pPr>
          </w:p>
          <w:p w14:paraId="5A0D5776" w14:textId="77777777" w:rsidR="00AD592A" w:rsidRDefault="00AD592A" w:rsidP="00066F28">
            <w:pPr>
              <w:autoSpaceDE w:val="0"/>
              <w:autoSpaceDN w:val="0"/>
              <w:adjustRightInd w:val="0"/>
              <w:jc w:val="both"/>
              <w:rPr>
                <w:rFonts w:ascii="Calibri" w:hAnsi="Calibri" w:cs="Calibri"/>
              </w:rPr>
            </w:pPr>
            <w:r>
              <w:rPr>
                <w:rFonts w:ascii="Calibri" w:hAnsi="Calibri" w:cs="Calibri"/>
              </w:rPr>
              <w:t>Todos los anteriores registros quedaron sin piso legal a partir de que el INCORA declaró</w:t>
            </w:r>
          </w:p>
          <w:p w14:paraId="4CE13444" w14:textId="77777777" w:rsidR="00AD592A" w:rsidRDefault="00AD592A" w:rsidP="00066F28">
            <w:pPr>
              <w:autoSpaceDE w:val="0"/>
              <w:autoSpaceDN w:val="0"/>
              <w:adjustRightInd w:val="0"/>
              <w:jc w:val="both"/>
              <w:rPr>
                <w:rFonts w:ascii="Calibri" w:hAnsi="Calibri" w:cs="Calibri"/>
              </w:rPr>
            </w:pPr>
            <w:r>
              <w:rPr>
                <w:rFonts w:ascii="Calibri" w:hAnsi="Calibri" w:cs="Calibri"/>
              </w:rPr>
              <w:t>extinguido el dominio a favor de la Nación.</w:t>
            </w:r>
          </w:p>
          <w:p w14:paraId="769F02D8" w14:textId="77777777" w:rsidR="00AD592A" w:rsidRDefault="00AD592A" w:rsidP="00066F28">
            <w:pPr>
              <w:autoSpaceDE w:val="0"/>
              <w:autoSpaceDN w:val="0"/>
              <w:adjustRightInd w:val="0"/>
              <w:jc w:val="both"/>
              <w:rPr>
                <w:rFonts w:ascii="Calibri" w:hAnsi="Calibri" w:cs="Calibri"/>
              </w:rPr>
            </w:pPr>
          </w:p>
          <w:p w14:paraId="4D3D191F"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11. En el acápite de pruebas literal b), numeral 8 (pag.3) de la precitada resolución, la </w:t>
            </w:r>
            <w:r>
              <w:rPr>
                <w:rFonts w:ascii="Calibri-Bold" w:hAnsi="Calibri-Bold" w:cs="Calibri-Bold"/>
                <w:b/>
                <w:bCs/>
              </w:rPr>
              <w:t xml:space="preserve">inspección ocular </w:t>
            </w:r>
            <w:r>
              <w:rPr>
                <w:rFonts w:ascii="Calibri" w:hAnsi="Calibri" w:cs="Calibri"/>
              </w:rPr>
              <w:t>arrojó:</w:t>
            </w:r>
          </w:p>
          <w:p w14:paraId="3BF98F75" w14:textId="77777777" w:rsidR="00AD592A" w:rsidRDefault="00AD592A" w:rsidP="00066F28">
            <w:pPr>
              <w:autoSpaceDE w:val="0"/>
              <w:autoSpaceDN w:val="0"/>
              <w:adjustRightInd w:val="0"/>
              <w:jc w:val="both"/>
              <w:rPr>
                <w:rFonts w:ascii="Calibri" w:hAnsi="Calibri" w:cs="Calibri"/>
              </w:rPr>
            </w:pPr>
          </w:p>
          <w:p w14:paraId="70014322" w14:textId="77777777" w:rsidR="00AD592A" w:rsidRDefault="00AD592A" w:rsidP="00066F28">
            <w:pPr>
              <w:autoSpaceDE w:val="0"/>
              <w:autoSpaceDN w:val="0"/>
              <w:adjustRightInd w:val="0"/>
              <w:jc w:val="both"/>
              <w:rPr>
                <w:rFonts w:ascii="Calibri" w:hAnsi="Calibri" w:cs="Calibri"/>
              </w:rPr>
            </w:pPr>
            <w:r w:rsidRPr="0066690D">
              <w:rPr>
                <w:rFonts w:ascii="Calibri" w:hAnsi="Calibri" w:cs="Calibri"/>
                <w:noProof/>
              </w:rPr>
              <w:drawing>
                <wp:inline distT="0" distB="0" distL="0" distR="0" wp14:anchorId="113D0D63" wp14:editId="6E374D27">
                  <wp:extent cx="3219450" cy="6159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9450" cy="615950"/>
                          </a:xfrm>
                          <a:prstGeom prst="rect">
                            <a:avLst/>
                          </a:prstGeom>
                          <a:noFill/>
                          <a:ln>
                            <a:noFill/>
                          </a:ln>
                        </pic:spPr>
                      </pic:pic>
                    </a:graphicData>
                  </a:graphic>
                </wp:inline>
              </w:drawing>
            </w:r>
          </w:p>
          <w:p w14:paraId="7B796210" w14:textId="77777777" w:rsidR="00AD592A" w:rsidRDefault="00AD592A" w:rsidP="00066F28">
            <w:pPr>
              <w:autoSpaceDE w:val="0"/>
              <w:autoSpaceDN w:val="0"/>
              <w:adjustRightInd w:val="0"/>
              <w:jc w:val="both"/>
              <w:rPr>
                <w:rFonts w:ascii="Calibri" w:hAnsi="Calibri" w:cs="Calibri"/>
              </w:rPr>
            </w:pPr>
          </w:p>
          <w:p w14:paraId="7AB4039C" w14:textId="77777777" w:rsidR="00AD592A" w:rsidRDefault="00AD592A" w:rsidP="00066F28">
            <w:pPr>
              <w:autoSpaceDE w:val="0"/>
              <w:autoSpaceDN w:val="0"/>
              <w:adjustRightInd w:val="0"/>
              <w:jc w:val="both"/>
              <w:rPr>
                <w:rFonts w:ascii="Calibri" w:hAnsi="Calibri" w:cs="Calibri"/>
              </w:rPr>
            </w:pPr>
            <w:r>
              <w:rPr>
                <w:rFonts w:ascii="Calibri" w:hAnsi="Calibri" w:cs="Calibri"/>
              </w:rPr>
              <w:t>12. En el acápite de pruebas literal c), numeral 10 (pag. 5) de la precitada resolución, el</w:t>
            </w:r>
          </w:p>
          <w:p w14:paraId="66FB64FD" w14:textId="77777777" w:rsidR="00AD592A" w:rsidRDefault="00AD592A" w:rsidP="00066F28">
            <w:pPr>
              <w:autoSpaceDE w:val="0"/>
              <w:autoSpaceDN w:val="0"/>
              <w:adjustRightInd w:val="0"/>
              <w:jc w:val="both"/>
              <w:rPr>
                <w:rFonts w:ascii="Calibri" w:hAnsi="Calibri" w:cs="Calibri"/>
              </w:rPr>
            </w:pPr>
            <w:r>
              <w:rPr>
                <w:rFonts w:ascii="Calibri-Bold" w:hAnsi="Calibri-Bold" w:cs="Calibri-Bold"/>
                <w:b/>
                <w:bCs/>
              </w:rPr>
              <w:t xml:space="preserve">dictamen pericial </w:t>
            </w:r>
            <w:r>
              <w:rPr>
                <w:rFonts w:ascii="Calibri" w:hAnsi="Calibri" w:cs="Calibri"/>
              </w:rPr>
              <w:t>rendido por los peritos del Instituto Geográfico Agustin Codazzi y del</w:t>
            </w:r>
          </w:p>
          <w:p w14:paraId="555E3EB6"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INCORA arrojó que </w:t>
            </w:r>
            <w:r>
              <w:rPr>
                <w:rFonts w:ascii="Calibri-Bold" w:hAnsi="Calibri-Bold" w:cs="Calibri-Bold"/>
                <w:b/>
                <w:bCs/>
              </w:rPr>
              <w:t xml:space="preserve">PEDRO GUTIERREZ </w:t>
            </w:r>
            <w:r>
              <w:rPr>
                <w:rFonts w:ascii="Calibri" w:hAnsi="Calibri" w:cs="Calibri"/>
              </w:rPr>
              <w:t>figuraba entre los colonos ocupantes de la finca</w:t>
            </w:r>
          </w:p>
          <w:p w14:paraId="1B98AF2D" w14:textId="77777777" w:rsidR="00AD592A" w:rsidRDefault="00AD592A" w:rsidP="00066F28">
            <w:pPr>
              <w:autoSpaceDE w:val="0"/>
              <w:autoSpaceDN w:val="0"/>
              <w:adjustRightInd w:val="0"/>
              <w:jc w:val="both"/>
              <w:rPr>
                <w:rFonts w:ascii="Calibri" w:hAnsi="Calibri" w:cs="Calibri"/>
              </w:rPr>
            </w:pPr>
            <w:r>
              <w:rPr>
                <w:rFonts w:ascii="Calibri" w:hAnsi="Calibri" w:cs="Calibri"/>
              </w:rPr>
              <w:t>los JABONALES:</w:t>
            </w:r>
          </w:p>
          <w:p w14:paraId="4B8509C5" w14:textId="77777777" w:rsidR="00AD592A" w:rsidRDefault="00AD592A" w:rsidP="00066F28">
            <w:pPr>
              <w:autoSpaceDE w:val="0"/>
              <w:autoSpaceDN w:val="0"/>
              <w:adjustRightInd w:val="0"/>
              <w:jc w:val="both"/>
              <w:rPr>
                <w:rFonts w:ascii="Calibri" w:hAnsi="Calibri" w:cs="Calibri"/>
              </w:rPr>
            </w:pPr>
            <w:r w:rsidRPr="0066690D">
              <w:rPr>
                <w:rFonts w:ascii="Calibri" w:hAnsi="Calibri" w:cs="Calibri"/>
                <w:noProof/>
              </w:rPr>
              <w:lastRenderedPageBreak/>
              <w:drawing>
                <wp:inline distT="0" distB="0" distL="0" distR="0" wp14:anchorId="5A97C83A" wp14:editId="0BE94B0A">
                  <wp:extent cx="2838450" cy="48260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8450" cy="482600"/>
                          </a:xfrm>
                          <a:prstGeom prst="rect">
                            <a:avLst/>
                          </a:prstGeom>
                          <a:noFill/>
                          <a:ln>
                            <a:noFill/>
                          </a:ln>
                        </pic:spPr>
                      </pic:pic>
                    </a:graphicData>
                  </a:graphic>
                </wp:inline>
              </w:drawing>
            </w:r>
          </w:p>
          <w:p w14:paraId="49D49BCA" w14:textId="77777777" w:rsidR="00AD592A" w:rsidRDefault="00AD592A" w:rsidP="00066F28">
            <w:pPr>
              <w:autoSpaceDE w:val="0"/>
              <w:autoSpaceDN w:val="0"/>
              <w:adjustRightInd w:val="0"/>
              <w:jc w:val="both"/>
              <w:rPr>
                <w:rFonts w:ascii="Calibri" w:hAnsi="Calibri" w:cs="Calibri"/>
              </w:rPr>
            </w:pPr>
          </w:p>
          <w:p w14:paraId="7C696A52" w14:textId="77777777" w:rsidR="00AD592A" w:rsidRDefault="00AD592A" w:rsidP="00066F28">
            <w:pPr>
              <w:autoSpaceDE w:val="0"/>
              <w:autoSpaceDN w:val="0"/>
              <w:adjustRightInd w:val="0"/>
              <w:jc w:val="both"/>
              <w:rPr>
                <w:rFonts w:ascii="Calibri" w:hAnsi="Calibri" w:cs="Calibri"/>
              </w:rPr>
            </w:pPr>
            <w:r>
              <w:rPr>
                <w:rFonts w:ascii="Calibri" w:hAnsi="Calibri" w:cs="Calibri"/>
              </w:rPr>
              <w:t>13. En el acápite de pruebas literal c), numeral 13 (pag. 7) de la precitada resolución, el</w:t>
            </w:r>
          </w:p>
          <w:p w14:paraId="7320D91A" w14:textId="77777777" w:rsidR="00AD592A" w:rsidRDefault="00AD592A" w:rsidP="00066F28">
            <w:pPr>
              <w:autoSpaceDE w:val="0"/>
              <w:autoSpaceDN w:val="0"/>
              <w:adjustRightInd w:val="0"/>
              <w:jc w:val="both"/>
              <w:rPr>
                <w:rFonts w:ascii="Calibri" w:hAnsi="Calibri" w:cs="Calibri"/>
              </w:rPr>
            </w:pPr>
            <w:r>
              <w:rPr>
                <w:rFonts w:ascii="Calibri-Bold" w:hAnsi="Calibri-Bold" w:cs="Calibri-Bold"/>
                <w:b/>
                <w:bCs/>
              </w:rPr>
              <w:t xml:space="preserve">dictamen pericial </w:t>
            </w:r>
            <w:r>
              <w:rPr>
                <w:rFonts w:ascii="Calibri" w:hAnsi="Calibri" w:cs="Calibri"/>
              </w:rPr>
              <w:t>rendido por la parte interesada arrojó:</w:t>
            </w:r>
          </w:p>
          <w:p w14:paraId="4E35AA76" w14:textId="77777777" w:rsidR="00AD592A" w:rsidRDefault="00AD592A" w:rsidP="00066F28">
            <w:pPr>
              <w:autoSpaceDE w:val="0"/>
              <w:autoSpaceDN w:val="0"/>
              <w:adjustRightInd w:val="0"/>
              <w:jc w:val="both"/>
              <w:rPr>
                <w:rFonts w:ascii="Calibri" w:hAnsi="Calibri" w:cs="Calibri"/>
              </w:rPr>
            </w:pPr>
          </w:p>
          <w:p w14:paraId="7BD95FFC" w14:textId="77777777" w:rsidR="00AD592A" w:rsidRDefault="00AD592A" w:rsidP="00066F28">
            <w:pPr>
              <w:autoSpaceDE w:val="0"/>
              <w:autoSpaceDN w:val="0"/>
              <w:adjustRightInd w:val="0"/>
              <w:jc w:val="both"/>
              <w:rPr>
                <w:rFonts w:ascii="Calibri" w:hAnsi="Calibri" w:cs="Calibri"/>
              </w:rPr>
            </w:pPr>
            <w:r w:rsidRPr="0066690D">
              <w:rPr>
                <w:rFonts w:ascii="Calibri" w:hAnsi="Calibri" w:cs="Calibri"/>
                <w:noProof/>
              </w:rPr>
              <w:drawing>
                <wp:inline distT="0" distB="0" distL="0" distR="0" wp14:anchorId="0FF07CAD" wp14:editId="17EBBB9D">
                  <wp:extent cx="2762250" cy="279400"/>
                  <wp:effectExtent l="0" t="0" r="0" b="635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0" cy="279400"/>
                          </a:xfrm>
                          <a:prstGeom prst="rect">
                            <a:avLst/>
                          </a:prstGeom>
                          <a:noFill/>
                          <a:ln>
                            <a:noFill/>
                          </a:ln>
                        </pic:spPr>
                      </pic:pic>
                    </a:graphicData>
                  </a:graphic>
                </wp:inline>
              </w:drawing>
            </w:r>
          </w:p>
          <w:p w14:paraId="5D442EB2" w14:textId="77777777" w:rsidR="00AD592A" w:rsidRDefault="00AD592A" w:rsidP="00066F28">
            <w:pPr>
              <w:autoSpaceDE w:val="0"/>
              <w:autoSpaceDN w:val="0"/>
              <w:adjustRightInd w:val="0"/>
              <w:jc w:val="both"/>
              <w:rPr>
                <w:rFonts w:ascii="Calibri" w:hAnsi="Calibri" w:cs="Calibri"/>
              </w:rPr>
            </w:pPr>
          </w:p>
          <w:p w14:paraId="1BC04F16" w14:textId="77777777" w:rsidR="00AD592A" w:rsidRDefault="00AD592A" w:rsidP="00066F28">
            <w:pPr>
              <w:autoSpaceDE w:val="0"/>
              <w:autoSpaceDN w:val="0"/>
              <w:adjustRightInd w:val="0"/>
              <w:jc w:val="both"/>
              <w:rPr>
                <w:rFonts w:ascii="Calibri" w:hAnsi="Calibri" w:cs="Calibri"/>
              </w:rPr>
            </w:pPr>
            <w:r>
              <w:rPr>
                <w:rFonts w:ascii="Calibri" w:hAnsi="Calibri" w:cs="Calibri"/>
              </w:rPr>
              <w:t>14. La citada resolución, en el acápite de las “CONSIDERACIONES FINALES” (pag. 8), estipula:</w:t>
            </w:r>
          </w:p>
          <w:p w14:paraId="3BA6D277" w14:textId="77777777" w:rsidR="00AD592A" w:rsidRDefault="00AD592A" w:rsidP="00066F28">
            <w:pPr>
              <w:autoSpaceDE w:val="0"/>
              <w:autoSpaceDN w:val="0"/>
              <w:adjustRightInd w:val="0"/>
              <w:jc w:val="both"/>
              <w:rPr>
                <w:rFonts w:ascii="Calibri" w:hAnsi="Calibri" w:cs="Calibri"/>
              </w:rPr>
            </w:pPr>
          </w:p>
          <w:p w14:paraId="09E4E00C" w14:textId="77777777" w:rsidR="00AD592A" w:rsidRDefault="00AD592A" w:rsidP="00066F28">
            <w:pPr>
              <w:autoSpaceDE w:val="0"/>
              <w:autoSpaceDN w:val="0"/>
              <w:adjustRightInd w:val="0"/>
              <w:jc w:val="both"/>
              <w:rPr>
                <w:rFonts w:ascii="Calibri" w:hAnsi="Calibri" w:cs="Calibri"/>
              </w:rPr>
            </w:pPr>
            <w:r>
              <w:rPr>
                <w:rFonts w:ascii="Calibri" w:hAnsi="Calibri" w:cs="Calibri"/>
              </w:rPr>
              <w:t>“(…). Pero el lote o sector JABONALES que está en poder de colonos, con superficie apróximada de 1.745 hectáreas, en donde “</w:t>
            </w:r>
            <w:r>
              <w:rPr>
                <w:rFonts w:ascii="Calibri-Bold" w:hAnsi="Calibri-Bold" w:cs="Calibri-Bold"/>
                <w:b/>
                <w:bCs/>
              </w:rPr>
              <w:t>LA SOCIEDAD “MÁRMOLES Y CEMENTOS</w:t>
            </w:r>
            <w:r>
              <w:rPr>
                <w:rFonts w:ascii="Calibri" w:hAnsi="Calibri" w:cs="Calibri"/>
              </w:rPr>
              <w:t xml:space="preserve"> </w:t>
            </w:r>
            <w:r>
              <w:rPr>
                <w:rFonts w:ascii="Calibri-Bold" w:hAnsi="Calibri-Bold" w:cs="Calibri-Bold"/>
                <w:b/>
                <w:bCs/>
              </w:rPr>
              <w:t>NARE S.A.</w:t>
            </w:r>
            <w:r>
              <w:rPr>
                <w:rFonts w:ascii="Calibri" w:hAnsi="Calibri" w:cs="Calibri"/>
              </w:rPr>
              <w:t>”, nunca ha realizado actos de dominio y señorío y, de consiguiente no ha adelantado ni adelanta ningún tipo de explotación económica”, si debe ser objeto de extinción del derecho de dominio privado, al tenor del artículo 26 de la ley 200 de 1936. (…)”:</w:t>
            </w:r>
          </w:p>
          <w:p w14:paraId="2C73E468" w14:textId="77777777" w:rsidR="00AD592A" w:rsidRDefault="00AD592A" w:rsidP="00066F28">
            <w:pPr>
              <w:autoSpaceDE w:val="0"/>
              <w:autoSpaceDN w:val="0"/>
              <w:adjustRightInd w:val="0"/>
              <w:jc w:val="both"/>
              <w:rPr>
                <w:rFonts w:ascii="Calibri" w:hAnsi="Calibri" w:cs="Calibri"/>
              </w:rPr>
            </w:pPr>
          </w:p>
          <w:p w14:paraId="750E3E86" w14:textId="77777777" w:rsidR="00AD592A" w:rsidRDefault="00AD592A" w:rsidP="00066F28">
            <w:pPr>
              <w:autoSpaceDE w:val="0"/>
              <w:autoSpaceDN w:val="0"/>
              <w:adjustRightInd w:val="0"/>
              <w:jc w:val="both"/>
              <w:rPr>
                <w:rFonts w:ascii="Calibri" w:hAnsi="Calibri" w:cs="Calibri"/>
              </w:rPr>
            </w:pPr>
            <w:r w:rsidRPr="00845FB2">
              <w:rPr>
                <w:rFonts w:ascii="Calibri" w:hAnsi="Calibri" w:cs="Calibri"/>
                <w:noProof/>
              </w:rPr>
              <w:drawing>
                <wp:inline distT="0" distB="0" distL="0" distR="0" wp14:anchorId="49892371" wp14:editId="2D2182BD">
                  <wp:extent cx="2838450" cy="59055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8450" cy="590550"/>
                          </a:xfrm>
                          <a:prstGeom prst="rect">
                            <a:avLst/>
                          </a:prstGeom>
                          <a:noFill/>
                          <a:ln>
                            <a:noFill/>
                          </a:ln>
                        </pic:spPr>
                      </pic:pic>
                    </a:graphicData>
                  </a:graphic>
                </wp:inline>
              </w:drawing>
            </w:r>
          </w:p>
          <w:p w14:paraId="3E81853A" w14:textId="77777777" w:rsidR="00AD592A" w:rsidRDefault="00AD592A" w:rsidP="00066F28">
            <w:pPr>
              <w:autoSpaceDE w:val="0"/>
              <w:autoSpaceDN w:val="0"/>
              <w:adjustRightInd w:val="0"/>
              <w:jc w:val="both"/>
              <w:rPr>
                <w:rFonts w:ascii="Calibri" w:hAnsi="Calibri" w:cs="Calibri"/>
              </w:rPr>
            </w:pPr>
          </w:p>
          <w:p w14:paraId="09E0E74D"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15. Entre los colindantes del predio exceptuado de extinción de dominio a la SOCIEDAD “MARMOLES Y CEMENTOS NARE S.A.”, se cita a </w:t>
            </w:r>
            <w:r>
              <w:rPr>
                <w:rFonts w:ascii="Calibri-Bold" w:hAnsi="Calibri-Bold" w:cs="Calibri-Bold"/>
                <w:b/>
                <w:bCs/>
              </w:rPr>
              <w:t xml:space="preserve">PEDRO GUTIERREZ </w:t>
            </w:r>
            <w:r>
              <w:rPr>
                <w:rFonts w:ascii="Calibri" w:hAnsi="Calibri" w:cs="Calibri"/>
              </w:rPr>
              <w:t>como su colindante, en la parte final del parágrafo del artículo primero de la parte resolutiva de la pluricitada resolución:</w:t>
            </w:r>
          </w:p>
          <w:p w14:paraId="141637A9" w14:textId="77777777" w:rsidR="00AD592A" w:rsidRDefault="00AD592A" w:rsidP="00066F28">
            <w:pPr>
              <w:autoSpaceDE w:val="0"/>
              <w:autoSpaceDN w:val="0"/>
              <w:adjustRightInd w:val="0"/>
              <w:jc w:val="both"/>
              <w:rPr>
                <w:rFonts w:ascii="Calibri" w:hAnsi="Calibri" w:cs="Calibri"/>
              </w:rPr>
            </w:pPr>
          </w:p>
          <w:p w14:paraId="33621B32" w14:textId="77777777" w:rsidR="00AD592A" w:rsidRDefault="00AD592A" w:rsidP="00066F28">
            <w:pPr>
              <w:autoSpaceDE w:val="0"/>
              <w:autoSpaceDN w:val="0"/>
              <w:adjustRightInd w:val="0"/>
              <w:jc w:val="both"/>
              <w:rPr>
                <w:rFonts w:ascii="Calibri" w:hAnsi="Calibri" w:cs="Calibri"/>
              </w:rPr>
            </w:pPr>
            <w:r w:rsidRPr="00845FB2">
              <w:rPr>
                <w:rFonts w:ascii="Calibri" w:hAnsi="Calibri" w:cs="Calibri"/>
                <w:noProof/>
              </w:rPr>
              <w:drawing>
                <wp:inline distT="0" distB="0" distL="0" distR="0" wp14:anchorId="79A15A95" wp14:editId="3E1D02BC">
                  <wp:extent cx="4591050" cy="121920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1050" cy="1219200"/>
                          </a:xfrm>
                          <a:prstGeom prst="rect">
                            <a:avLst/>
                          </a:prstGeom>
                          <a:noFill/>
                          <a:ln>
                            <a:noFill/>
                          </a:ln>
                        </pic:spPr>
                      </pic:pic>
                    </a:graphicData>
                  </a:graphic>
                </wp:inline>
              </w:drawing>
            </w:r>
          </w:p>
          <w:p w14:paraId="55BA2DF8" w14:textId="77777777" w:rsidR="00AD592A" w:rsidRDefault="00AD592A" w:rsidP="00066F28">
            <w:pPr>
              <w:autoSpaceDE w:val="0"/>
              <w:autoSpaceDN w:val="0"/>
              <w:adjustRightInd w:val="0"/>
              <w:jc w:val="both"/>
              <w:rPr>
                <w:rFonts w:ascii="Calibri" w:hAnsi="Calibri" w:cs="Calibri"/>
              </w:rPr>
            </w:pPr>
          </w:p>
          <w:p w14:paraId="421C617E" w14:textId="7DD8DD2A" w:rsidR="00AD592A" w:rsidRDefault="00AD592A" w:rsidP="00066F28">
            <w:pPr>
              <w:autoSpaceDE w:val="0"/>
              <w:autoSpaceDN w:val="0"/>
              <w:adjustRightInd w:val="0"/>
              <w:jc w:val="both"/>
              <w:rPr>
                <w:rFonts w:ascii="Calibri" w:hAnsi="Calibri" w:cs="Calibri"/>
              </w:rPr>
            </w:pPr>
            <w:r>
              <w:rPr>
                <w:rFonts w:ascii="Calibri" w:hAnsi="Calibri" w:cs="Calibri"/>
              </w:rPr>
              <w:t xml:space="preserve">Estos tres predios colindantes entre sí, ocupados por </w:t>
            </w:r>
            <w:r>
              <w:rPr>
                <w:rFonts w:ascii="Calibri-Bold" w:hAnsi="Calibri-Bold" w:cs="Calibri-Bold"/>
                <w:b/>
                <w:bCs/>
              </w:rPr>
              <w:t xml:space="preserve">PEDRO GUTIERREZ BERRIO </w:t>
            </w:r>
            <w:r>
              <w:rPr>
                <w:rFonts w:ascii="Calibri" w:hAnsi="Calibri" w:cs="Calibri"/>
              </w:rPr>
              <w:t xml:space="preserve">al momento de la venta eran reconocidos públicamente como </w:t>
            </w:r>
            <w:r>
              <w:rPr>
                <w:rFonts w:ascii="Calibri-Bold" w:hAnsi="Calibri-Bold" w:cs="Calibri-Bold"/>
                <w:b/>
                <w:bCs/>
              </w:rPr>
              <w:t xml:space="preserve">FINCA LA SIRENA, </w:t>
            </w:r>
            <w:r>
              <w:rPr>
                <w:rFonts w:ascii="Calibri" w:hAnsi="Calibri" w:cs="Calibri"/>
              </w:rPr>
              <w:t>ubicada hoy en zona rural del corregimiento la Sierra del municipio de Puerto Nare, Antioquia. Dicho sea de paso, el lote La Estrella tiene nombre similar al de otra finca colindante con don PEDRO GUTIERREZ, también conocida como LA ESTRELLA de propiedad, en su</w:t>
            </w:r>
            <w:r w:rsidR="00423F84">
              <w:rPr>
                <w:rFonts w:ascii="Calibri" w:hAnsi="Calibri" w:cs="Calibri"/>
              </w:rPr>
              <w:t xml:space="preserve"> </w:t>
            </w:r>
            <w:r>
              <w:rPr>
                <w:rFonts w:ascii="Calibri" w:hAnsi="Calibri" w:cs="Calibri"/>
              </w:rPr>
              <w:t xml:space="preserve">momento, del colono </w:t>
            </w:r>
            <w:r>
              <w:rPr>
                <w:rFonts w:ascii="Calibri-Bold" w:hAnsi="Calibri-Bold" w:cs="Calibri-Bold"/>
                <w:b/>
                <w:bCs/>
              </w:rPr>
              <w:t>JESUS MOLINA</w:t>
            </w:r>
            <w:r>
              <w:rPr>
                <w:rFonts w:ascii="Calibri" w:hAnsi="Calibri" w:cs="Calibri"/>
              </w:rPr>
              <w:t>.</w:t>
            </w:r>
          </w:p>
          <w:p w14:paraId="55D4E97A" w14:textId="77777777" w:rsidR="00AD592A" w:rsidRDefault="00AD592A" w:rsidP="00066F28">
            <w:pPr>
              <w:autoSpaceDE w:val="0"/>
              <w:autoSpaceDN w:val="0"/>
              <w:adjustRightInd w:val="0"/>
              <w:jc w:val="both"/>
              <w:rPr>
                <w:rFonts w:ascii="Calibri" w:hAnsi="Calibri" w:cs="Calibri"/>
              </w:rPr>
            </w:pPr>
            <w:r>
              <w:rPr>
                <w:rFonts w:ascii="Calibri" w:hAnsi="Calibri" w:cs="Calibri"/>
              </w:rPr>
              <w:lastRenderedPageBreak/>
              <w:t xml:space="preserve">16. Para la fecha en la que se solemnizó la precitada compraventa, </w:t>
            </w:r>
            <w:r>
              <w:rPr>
                <w:rFonts w:ascii="Calibri-Bold" w:hAnsi="Calibri-Bold" w:cs="Calibri-Bold"/>
                <w:b/>
                <w:bCs/>
              </w:rPr>
              <w:t>PEDRO GUTIÉRREZ</w:t>
            </w:r>
            <w:r>
              <w:rPr>
                <w:rFonts w:ascii="Calibri" w:hAnsi="Calibri" w:cs="Calibri"/>
              </w:rPr>
              <w:t xml:space="preserve"> </w:t>
            </w:r>
            <w:r>
              <w:rPr>
                <w:rFonts w:ascii="Calibri-Bold" w:hAnsi="Calibri-Bold" w:cs="Calibri-Bold"/>
                <w:b/>
                <w:bCs/>
              </w:rPr>
              <w:t xml:space="preserve">BERRIO no era propietario en pleno dominio </w:t>
            </w:r>
            <w:r>
              <w:rPr>
                <w:rFonts w:ascii="Calibri" w:hAnsi="Calibri" w:cs="Calibri"/>
              </w:rPr>
              <w:t>de los tres citados lotes tal y como se lee en los folios de matrícula inmobiliaria, ya que él solamente tenía la calidad de poseedor ley 200/1936), predios que a la pluricitada sociedad le habían sido declarados en extinción de dominio a favor de la Nación según la resolución 5937 de 14/09/1964 del INCORA.</w:t>
            </w:r>
          </w:p>
          <w:p w14:paraId="640DCAD4" w14:textId="77777777" w:rsidR="00AD592A" w:rsidRDefault="00AD592A" w:rsidP="00066F28">
            <w:pPr>
              <w:autoSpaceDE w:val="0"/>
              <w:autoSpaceDN w:val="0"/>
              <w:adjustRightInd w:val="0"/>
              <w:jc w:val="both"/>
              <w:rPr>
                <w:rFonts w:ascii="Calibri" w:hAnsi="Calibri" w:cs="Calibri"/>
              </w:rPr>
            </w:pPr>
          </w:p>
          <w:p w14:paraId="002B1B3C" w14:textId="77777777" w:rsidR="00AD592A" w:rsidRDefault="00AD592A" w:rsidP="00066F28">
            <w:pPr>
              <w:autoSpaceDE w:val="0"/>
              <w:autoSpaceDN w:val="0"/>
              <w:adjustRightInd w:val="0"/>
              <w:jc w:val="both"/>
              <w:rPr>
                <w:rFonts w:ascii="Calibri" w:hAnsi="Calibri" w:cs="Calibri"/>
              </w:rPr>
            </w:pPr>
            <w:r>
              <w:rPr>
                <w:rFonts w:ascii="Calibri" w:hAnsi="Calibri" w:cs="Calibri"/>
              </w:rPr>
              <w:t>17. Atendiendo la normatividad registral del Decreto 1250 de 1970, la ORIP de Instrumentos Públicos de Puerto Berrio, abrió una carpeta para cada uno de los tres inmuebles para el registro de la citada escritura púbica de compraventa, depositando para su archivo en cada una de las carpetas una hoja física de ruta y un folio físico en cartulina en las que se indicó que la compraventa era en FALSA TRADICION.</w:t>
            </w:r>
          </w:p>
          <w:p w14:paraId="10C075B6" w14:textId="77777777" w:rsidR="00AD592A" w:rsidRDefault="00AD592A" w:rsidP="00066F28">
            <w:pPr>
              <w:autoSpaceDE w:val="0"/>
              <w:autoSpaceDN w:val="0"/>
              <w:adjustRightInd w:val="0"/>
              <w:jc w:val="both"/>
              <w:rPr>
                <w:rFonts w:ascii="Calibri" w:hAnsi="Calibri" w:cs="Calibri"/>
              </w:rPr>
            </w:pPr>
          </w:p>
          <w:p w14:paraId="42708157" w14:textId="77777777" w:rsidR="00AD592A" w:rsidRDefault="00AD592A" w:rsidP="00066F28">
            <w:pPr>
              <w:autoSpaceDE w:val="0"/>
              <w:autoSpaceDN w:val="0"/>
              <w:adjustRightInd w:val="0"/>
              <w:jc w:val="both"/>
              <w:rPr>
                <w:rFonts w:ascii="Calibri" w:hAnsi="Calibri" w:cs="Calibri"/>
              </w:rPr>
            </w:pPr>
            <w:r>
              <w:rPr>
                <w:rFonts w:ascii="Calibri" w:hAnsi="Calibri" w:cs="Calibri"/>
              </w:rPr>
              <w:t xml:space="preserve">18. Por Escritura pública 933 de 09/05/1980 de la Notaría Segunda de Medellín, dicha Sociedad procede ilícitamente a solemnizar por escritura pública el englobe de estos tres (03) predios con otros predios de su propiedad, entre ellos el predio </w:t>
            </w:r>
            <w:r>
              <w:rPr>
                <w:rFonts w:ascii="Calibri-Bold" w:hAnsi="Calibri-Bold" w:cs="Calibri-Bold"/>
                <w:b/>
                <w:bCs/>
              </w:rPr>
              <w:t>CASANARE</w:t>
            </w:r>
            <w:r>
              <w:rPr>
                <w:rFonts w:ascii="Calibri" w:hAnsi="Calibri" w:cs="Calibri"/>
              </w:rPr>
              <w:t xml:space="preserve">, dando como resultante el nuevo predio ilegal de mayor extensión con </w:t>
            </w:r>
            <w:r>
              <w:rPr>
                <w:rFonts w:ascii="Calibri-Bold" w:hAnsi="Calibri-Bold" w:cs="Calibri-Bold"/>
                <w:b/>
                <w:bCs/>
              </w:rPr>
              <w:t xml:space="preserve">M.I. 019-895 </w:t>
            </w:r>
            <w:r>
              <w:rPr>
                <w:rFonts w:ascii="Calibri" w:hAnsi="Calibri" w:cs="Calibri"/>
              </w:rPr>
              <w:t xml:space="preserve">y que de forma indebida fue registrado </w:t>
            </w:r>
            <w:r>
              <w:rPr>
                <w:rFonts w:ascii="Calibri-Bold" w:hAnsi="Calibri-Bold" w:cs="Calibri-Bold"/>
                <w:b/>
                <w:bCs/>
              </w:rPr>
              <w:t xml:space="preserve">EN PLENO DOMINIO, </w:t>
            </w:r>
            <w:r>
              <w:rPr>
                <w:rFonts w:ascii="Calibri" w:hAnsi="Calibri" w:cs="Calibri"/>
              </w:rPr>
              <w:t>según se indica en la anotación 01 del citado folio de matrícula inmobiliaria, portador de la cedula catastral 58510020000001000010000000000. El englobe se realizó, arrojando los siguientes linderos según extracto del certificado de tradición y libertad:</w:t>
            </w:r>
          </w:p>
          <w:p w14:paraId="711EAD9E" w14:textId="77777777" w:rsidR="00AD592A" w:rsidRDefault="00AD592A" w:rsidP="00066F28">
            <w:pPr>
              <w:autoSpaceDE w:val="0"/>
              <w:autoSpaceDN w:val="0"/>
              <w:adjustRightInd w:val="0"/>
              <w:jc w:val="both"/>
              <w:rPr>
                <w:rFonts w:ascii="Calibri" w:hAnsi="Calibri" w:cs="Calibri"/>
              </w:rPr>
            </w:pPr>
          </w:p>
          <w:p w14:paraId="40F76F99" w14:textId="77777777" w:rsidR="00AD592A" w:rsidRDefault="00AD592A" w:rsidP="00066F28">
            <w:pPr>
              <w:autoSpaceDE w:val="0"/>
              <w:autoSpaceDN w:val="0"/>
              <w:adjustRightInd w:val="0"/>
              <w:jc w:val="both"/>
              <w:rPr>
                <w:rFonts w:ascii="Calibri" w:hAnsi="Calibri" w:cs="Calibri"/>
              </w:rPr>
            </w:pPr>
            <w:r w:rsidRPr="00845FB2">
              <w:rPr>
                <w:rFonts w:ascii="Calibri" w:hAnsi="Calibri" w:cs="Calibri"/>
                <w:noProof/>
              </w:rPr>
              <w:drawing>
                <wp:inline distT="0" distB="0" distL="0" distR="0" wp14:anchorId="79FEC2D5" wp14:editId="3D854BBB">
                  <wp:extent cx="2889250" cy="1625600"/>
                  <wp:effectExtent l="0" t="0" r="635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9250" cy="1625600"/>
                          </a:xfrm>
                          <a:prstGeom prst="rect">
                            <a:avLst/>
                          </a:prstGeom>
                          <a:noFill/>
                          <a:ln>
                            <a:noFill/>
                          </a:ln>
                        </pic:spPr>
                      </pic:pic>
                    </a:graphicData>
                  </a:graphic>
                </wp:inline>
              </w:drawing>
            </w:r>
          </w:p>
          <w:p w14:paraId="6F811B51" w14:textId="77777777" w:rsidR="00AD592A" w:rsidRDefault="00AD592A" w:rsidP="00066F28">
            <w:pPr>
              <w:autoSpaceDE w:val="0"/>
              <w:autoSpaceDN w:val="0"/>
              <w:adjustRightInd w:val="0"/>
              <w:jc w:val="both"/>
              <w:rPr>
                <w:rFonts w:ascii="Calibri" w:hAnsi="Calibri" w:cs="Calibri"/>
              </w:rPr>
            </w:pPr>
          </w:p>
          <w:p w14:paraId="4701F15B" w14:textId="77777777" w:rsidR="00AD592A" w:rsidRDefault="00AD592A" w:rsidP="00066F28">
            <w:pPr>
              <w:autoSpaceDE w:val="0"/>
              <w:autoSpaceDN w:val="0"/>
              <w:adjustRightInd w:val="0"/>
              <w:jc w:val="both"/>
              <w:rPr>
                <w:rFonts w:ascii="Calibri" w:hAnsi="Calibri" w:cs="Calibri"/>
              </w:rPr>
            </w:pPr>
            <w:r>
              <w:rPr>
                <w:rFonts w:ascii="Calibri" w:hAnsi="Calibri" w:cs="Calibri"/>
              </w:rPr>
              <w:t>La escritura pública 933 de 09/05/1980 de la Notaria Segunda de Medellín, da razón de la protocolización del plano producto del englobe, en la que, por observación personal del libro de protocolos, allí no reposa físicamente dicho documento.</w:t>
            </w:r>
          </w:p>
          <w:p w14:paraId="3094FE83" w14:textId="77777777" w:rsidR="00AD592A" w:rsidRDefault="00AD592A" w:rsidP="00066F28">
            <w:pPr>
              <w:autoSpaceDE w:val="0"/>
              <w:autoSpaceDN w:val="0"/>
              <w:adjustRightInd w:val="0"/>
              <w:jc w:val="both"/>
              <w:rPr>
                <w:rFonts w:ascii="Calibri" w:hAnsi="Calibri" w:cs="Calibri"/>
              </w:rPr>
            </w:pPr>
          </w:p>
          <w:p w14:paraId="5EF4A1E2" w14:textId="77777777" w:rsidR="00AD592A" w:rsidRPr="00845FB2" w:rsidRDefault="00AD592A" w:rsidP="00066F28">
            <w:pPr>
              <w:autoSpaceDE w:val="0"/>
              <w:autoSpaceDN w:val="0"/>
              <w:adjustRightInd w:val="0"/>
              <w:jc w:val="both"/>
              <w:rPr>
                <w:rFonts w:ascii="Calibri" w:hAnsi="Calibri" w:cs="Calibri"/>
              </w:rPr>
            </w:pPr>
            <w:r>
              <w:rPr>
                <w:rFonts w:ascii="Calibri" w:hAnsi="Calibri" w:cs="Calibri"/>
              </w:rPr>
              <w:t>19. Mediante oficio de fecha 29/09/2023, la Subdirección de Procesos Agrarios y Gestión Jurídica me proporcionaron copia del plano del predio rural los JABONALES, que reposa en el expediente del proceso de extinción de dominio que arrojó la pluricitada resolución No 5937 de 14/09/1964.</w:t>
            </w:r>
          </w:p>
          <w:p w14:paraId="25088DA9" w14:textId="77777777" w:rsidR="00AD592A" w:rsidRPr="00AD592A" w:rsidRDefault="00AD592A" w:rsidP="00066F28">
            <w:pPr>
              <w:tabs>
                <w:tab w:val="left" w:pos="7513"/>
              </w:tabs>
              <w:jc w:val="both"/>
              <w:rPr>
                <w:rFonts w:ascii="Arial Narrow" w:hAnsi="Arial Narrow" w:cs="Arial"/>
              </w:rPr>
            </w:pPr>
          </w:p>
          <w:p w14:paraId="252F4CB5" w14:textId="750C6E01" w:rsidR="00AB5F08" w:rsidRPr="00AB5F08" w:rsidRDefault="00AB5F08" w:rsidP="00066F28">
            <w:pPr>
              <w:autoSpaceDE w:val="0"/>
              <w:autoSpaceDN w:val="0"/>
              <w:adjustRightInd w:val="0"/>
              <w:ind w:left="360"/>
              <w:jc w:val="both"/>
              <w:rPr>
                <w:rFonts w:ascii="Calibri" w:eastAsiaTheme="minorHAnsi" w:hAnsi="Calibri" w:cs="Calibri"/>
              </w:rPr>
            </w:pPr>
          </w:p>
          <w:p w14:paraId="4626E8FD" w14:textId="77777777" w:rsidR="001C1CF2" w:rsidRPr="001C1CF2" w:rsidRDefault="001C1CF2" w:rsidP="00066F28">
            <w:pPr>
              <w:ind w:right="130"/>
              <w:jc w:val="both"/>
              <w:rPr>
                <w:rFonts w:ascii="Arial Narrow" w:eastAsia="Calibri" w:hAnsi="Arial Narrow" w:cs="Garamond"/>
                <w:lang w:eastAsia="es-CO"/>
              </w:rPr>
            </w:pPr>
          </w:p>
          <w:p w14:paraId="6DE47973" w14:textId="77777777" w:rsidR="001C1CF2" w:rsidRPr="001C1CF2" w:rsidRDefault="001C1CF2" w:rsidP="00066F28">
            <w:pPr>
              <w:ind w:right="130"/>
              <w:jc w:val="both"/>
              <w:rPr>
                <w:rFonts w:ascii="Arial Narrow" w:eastAsia="Calibri" w:hAnsi="Arial Narrow" w:cs="Garamond"/>
                <w:lang w:eastAsia="es-CO"/>
              </w:rPr>
            </w:pPr>
          </w:p>
          <w:p w14:paraId="26BDB73B" w14:textId="77777777" w:rsidR="005805F1" w:rsidRPr="001C1CF2" w:rsidRDefault="005805F1" w:rsidP="00066F28">
            <w:pPr>
              <w:pStyle w:val="Prrafodelista"/>
              <w:tabs>
                <w:tab w:val="left" w:pos="7513"/>
              </w:tabs>
              <w:ind w:left="0"/>
              <w:jc w:val="both"/>
              <w:rPr>
                <w:rFonts w:ascii="Arial Narrow" w:hAnsi="Arial Narrow" w:cs="Arial"/>
              </w:rPr>
            </w:pPr>
            <w:r w:rsidRPr="001C1CF2">
              <w:rPr>
                <w:rFonts w:ascii="Arial Narrow" w:hAnsi="Arial Narrow" w:cs="Arial"/>
              </w:rPr>
              <w:t>4. PRUEBAS</w:t>
            </w:r>
          </w:p>
          <w:p w14:paraId="3D2C4CD0" w14:textId="1C26D469" w:rsidR="00066F28" w:rsidRDefault="00066F28" w:rsidP="00066F28">
            <w:pPr>
              <w:autoSpaceDE w:val="0"/>
              <w:autoSpaceDN w:val="0"/>
              <w:adjustRightInd w:val="0"/>
              <w:jc w:val="both"/>
              <w:rPr>
                <w:rFonts w:ascii="Calibri-Bold" w:eastAsiaTheme="minorHAnsi" w:hAnsi="Calibri-Bold" w:cs="Calibri-Bold"/>
                <w:b/>
                <w:bCs/>
              </w:rPr>
            </w:pPr>
          </w:p>
          <w:p w14:paraId="678BAEBD"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la resolución 5937 de 14/09/1964 del INCORA.</w:t>
            </w:r>
          </w:p>
          <w:p w14:paraId="74BB7E12"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la escritura pública 3088 de 30/07/1972 de la Notaría Quinta de Medellin.</w:t>
            </w:r>
          </w:p>
          <w:p w14:paraId="57E06A94"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la escritura pública 933 de 9/05/1980 de la Notaría Quinta de Medellin.</w:t>
            </w:r>
          </w:p>
          <w:p w14:paraId="57659B49"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del plano que se desprende de la resolución 5937 DE 14/09/1964 del INCORA.</w:t>
            </w:r>
          </w:p>
          <w:p w14:paraId="70033275"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la escritura pública 559 de 26/11/1959 Notaría Cisneros (M.I. 019-398).</w:t>
            </w:r>
          </w:p>
          <w:p w14:paraId="45B3A4C5"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escritura 377 de 14/10/1.957 de Notaria de Cisneros (M.I. 019-394).</w:t>
            </w:r>
          </w:p>
          <w:p w14:paraId="17C4F38F"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escritura 48 de 07/03/1.949 de Notaría de Pto Berrio (M.I. 019-394).</w:t>
            </w:r>
          </w:p>
          <w:p w14:paraId="79C06E31"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C.T.L. de los predios 019-394, 019-398, 019-399 y 019-895.</w:t>
            </w:r>
          </w:p>
          <w:p w14:paraId="6650454F"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Hoja de ruta y del folio en cartulina de M.I. 019-394.</w:t>
            </w:r>
          </w:p>
          <w:p w14:paraId="307FDD1D"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Hoja de ruta y del folio en cartulina de M.I. 019-398.</w:t>
            </w:r>
          </w:p>
          <w:p w14:paraId="34526D37"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Hoja de ruta y del folio en cartulina de M.I. 019-399.</w:t>
            </w:r>
          </w:p>
          <w:p w14:paraId="59349BFD"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la ficha predial del inmueble 019-895.</w:t>
            </w:r>
          </w:p>
          <w:p w14:paraId="52511DEA"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 ficha predial 17103209 de 15/10/2024 de Catastro Departamental de</w:t>
            </w:r>
          </w:p>
          <w:p w14:paraId="0CF56E28"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Antioquia para la M.I. 01-895.</w:t>
            </w:r>
          </w:p>
          <w:p w14:paraId="3E8FA755"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del oficio de fecha 29/09/2023 la Subdirección de Procesos Agrarios y Gestión</w:t>
            </w:r>
          </w:p>
          <w:p w14:paraId="28134790"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Jurídica, de la A.N.T.</w:t>
            </w:r>
          </w:p>
          <w:p w14:paraId="06AD376F"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Copia del oficio de fecha 17/11/2023 la Subdirección por Demanda y Descongestión</w:t>
            </w:r>
          </w:p>
          <w:p w14:paraId="3E3441D1"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de la ANT.</w:t>
            </w:r>
          </w:p>
          <w:p w14:paraId="75CDB402" w14:textId="77777777" w:rsidR="00066F28" w:rsidRDefault="00066F28" w:rsidP="00066F28">
            <w:pPr>
              <w:autoSpaceDE w:val="0"/>
              <w:autoSpaceDN w:val="0"/>
              <w:adjustRightInd w:val="0"/>
              <w:jc w:val="both"/>
              <w:rPr>
                <w:rFonts w:ascii="Calibri" w:eastAsiaTheme="minorHAnsi" w:hAnsi="Calibri" w:cs="Calibri"/>
              </w:rPr>
            </w:pPr>
            <w:r>
              <w:rPr>
                <w:rFonts w:ascii="SymbolMT" w:eastAsiaTheme="minorHAnsi" w:hAnsi="SymbolMT" w:cs="SymbolMT"/>
              </w:rPr>
              <w:t xml:space="preserve">• </w:t>
            </w:r>
            <w:r>
              <w:rPr>
                <w:rFonts w:ascii="Calibri" w:eastAsiaTheme="minorHAnsi" w:hAnsi="Calibri" w:cs="Calibri"/>
              </w:rPr>
              <w:t>Certificado de existencia y R/L CEMENTOS ARGOS S.A.</w:t>
            </w:r>
          </w:p>
          <w:p w14:paraId="1DB42F48" w14:textId="77777777" w:rsidR="00066F28" w:rsidRDefault="00066F28" w:rsidP="00066F28">
            <w:pPr>
              <w:autoSpaceDE w:val="0"/>
              <w:autoSpaceDN w:val="0"/>
              <w:adjustRightInd w:val="0"/>
              <w:jc w:val="both"/>
              <w:rPr>
                <w:rFonts w:ascii="Calibri" w:eastAsiaTheme="minorHAnsi" w:hAnsi="Calibri" w:cs="Calibri"/>
              </w:rPr>
            </w:pPr>
          </w:p>
          <w:p w14:paraId="6F7F9CB2" w14:textId="77777777" w:rsidR="00066F28" w:rsidRDefault="00066F28" w:rsidP="00066F28">
            <w:pPr>
              <w:autoSpaceDE w:val="0"/>
              <w:autoSpaceDN w:val="0"/>
              <w:adjustRightInd w:val="0"/>
              <w:jc w:val="both"/>
              <w:rPr>
                <w:rFonts w:ascii="Calibri-Bold" w:eastAsiaTheme="minorHAnsi" w:hAnsi="Calibri-Bold" w:cs="Calibri-Bold"/>
                <w:b/>
                <w:bCs/>
              </w:rPr>
            </w:pPr>
            <w:r>
              <w:rPr>
                <w:rFonts w:ascii="Calibri-Bold" w:eastAsiaTheme="minorHAnsi" w:hAnsi="Calibri-Bold" w:cs="Calibri-Bold"/>
                <w:b/>
                <w:bCs/>
              </w:rPr>
              <w:t>SOLICITUD DE PRUEBA</w:t>
            </w:r>
          </w:p>
          <w:p w14:paraId="5B6CD13E" w14:textId="77777777" w:rsidR="00066F28" w:rsidRDefault="00066F28" w:rsidP="00066F28">
            <w:pPr>
              <w:autoSpaceDE w:val="0"/>
              <w:autoSpaceDN w:val="0"/>
              <w:adjustRightInd w:val="0"/>
              <w:jc w:val="both"/>
              <w:rPr>
                <w:rFonts w:ascii="Calibri-Bold" w:eastAsiaTheme="minorHAnsi" w:hAnsi="Calibri-Bold" w:cs="Calibri-Bold"/>
                <w:b/>
                <w:bCs/>
              </w:rPr>
            </w:pPr>
          </w:p>
          <w:p w14:paraId="0DAB4F21"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1. Se digne requerir al IGAC y/o Catastro Departamental, para que se allegue copia de</w:t>
            </w:r>
          </w:p>
          <w:p w14:paraId="00075F36"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la ficha predial y la ortofoto del inmueble con M.I. 019-895.</w:t>
            </w:r>
          </w:p>
          <w:p w14:paraId="35DC5344"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2. Se digne requerir a la Agencia Nacional de Tierras para que allegue copia del proceso</w:t>
            </w:r>
          </w:p>
          <w:p w14:paraId="60731778"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de extinción de dominio privado que generó la resolución 5937 de 14/09/1964 del</w:t>
            </w:r>
          </w:p>
          <w:p w14:paraId="3A582DD0"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INCORA.</w:t>
            </w:r>
          </w:p>
          <w:p w14:paraId="63E24885"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3. Disponer la realización de inspección ocular a los predios 019-394, 019-398, 019-</w:t>
            </w:r>
          </w:p>
          <w:p w14:paraId="7B050CDA" w14:textId="77777777" w:rsidR="00066F28" w:rsidRDefault="00066F28" w:rsidP="00066F28">
            <w:pPr>
              <w:autoSpaceDE w:val="0"/>
              <w:autoSpaceDN w:val="0"/>
              <w:adjustRightInd w:val="0"/>
              <w:jc w:val="both"/>
              <w:rPr>
                <w:rFonts w:ascii="Calibri" w:eastAsiaTheme="minorHAnsi" w:hAnsi="Calibri" w:cs="Calibri"/>
              </w:rPr>
            </w:pPr>
            <w:r>
              <w:rPr>
                <w:rFonts w:ascii="Calibri" w:eastAsiaTheme="minorHAnsi" w:hAnsi="Calibri" w:cs="Calibri"/>
              </w:rPr>
              <w:t>399 y 019-895 imersos por englobe dentro del predio con M.I. 019-895.</w:t>
            </w:r>
          </w:p>
          <w:p w14:paraId="572B0862" w14:textId="0BCAEEAD" w:rsidR="005805F1" w:rsidRPr="001C1CF2" w:rsidRDefault="00066F28" w:rsidP="00066F28">
            <w:pPr>
              <w:pStyle w:val="Prrafodelista"/>
              <w:tabs>
                <w:tab w:val="left" w:pos="7513"/>
              </w:tabs>
              <w:ind w:left="0"/>
              <w:jc w:val="both"/>
              <w:rPr>
                <w:rFonts w:ascii="Arial Narrow" w:hAnsi="Arial Narrow" w:cs="Arial"/>
              </w:rPr>
            </w:pPr>
            <w:r>
              <w:rPr>
                <w:rFonts w:ascii="Calibri" w:eastAsiaTheme="minorHAnsi" w:hAnsi="Calibri" w:cs="Calibri"/>
              </w:rPr>
              <w:t>4. Las demás que de oficio el despacho judicial se digne ordenar.</w:t>
            </w:r>
          </w:p>
          <w:p w14:paraId="39D2BADA" w14:textId="77777777" w:rsidR="005805F1" w:rsidRPr="001C1CF2" w:rsidRDefault="005805F1" w:rsidP="00066F28">
            <w:pPr>
              <w:pStyle w:val="Prrafodelista"/>
              <w:tabs>
                <w:tab w:val="left" w:pos="7513"/>
              </w:tabs>
              <w:jc w:val="both"/>
              <w:rPr>
                <w:rFonts w:ascii="Arial Narrow" w:hAnsi="Arial Narrow"/>
              </w:rPr>
            </w:pPr>
          </w:p>
        </w:tc>
      </w:tr>
      <w:tr w:rsidR="005805F1" w:rsidRPr="001C1CF2" w14:paraId="197C32FA" w14:textId="77777777" w:rsidTr="00796BB3">
        <w:trPr>
          <w:trHeight w:val="330"/>
        </w:trPr>
        <w:tc>
          <w:tcPr>
            <w:tcW w:w="9782" w:type="dxa"/>
            <w:tcBorders>
              <w:top w:val="single" w:sz="4" w:space="0" w:color="auto"/>
              <w:left w:val="double" w:sz="4" w:space="0" w:color="auto"/>
              <w:bottom w:val="single" w:sz="4" w:space="0" w:color="auto"/>
              <w:right w:val="double" w:sz="4" w:space="0" w:color="auto"/>
            </w:tcBorders>
            <w:shd w:val="clear" w:color="auto" w:fill="BFBFBF"/>
          </w:tcPr>
          <w:p w14:paraId="7D073B55"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lastRenderedPageBreak/>
              <w:t>Requisitos del artículo 2.2.4.3.1.1.6. del Decreto 1069 de 2015</w:t>
            </w:r>
          </w:p>
        </w:tc>
      </w:tr>
      <w:tr w:rsidR="005805F1" w:rsidRPr="001C1CF2" w14:paraId="1B104960" w14:textId="77777777" w:rsidTr="00796BB3">
        <w:trPr>
          <w:trHeight w:val="702"/>
        </w:trPr>
        <w:tc>
          <w:tcPr>
            <w:tcW w:w="9782" w:type="dxa"/>
            <w:tcBorders>
              <w:top w:val="single" w:sz="4" w:space="0" w:color="auto"/>
              <w:left w:val="double" w:sz="4" w:space="0" w:color="auto"/>
              <w:bottom w:val="single" w:sz="4" w:space="0" w:color="auto"/>
              <w:right w:val="double" w:sz="4" w:space="0" w:color="auto"/>
            </w:tcBorders>
          </w:tcPr>
          <w:p w14:paraId="4CBC677A" w14:textId="77777777" w:rsidR="005805F1" w:rsidRPr="001C1CF2" w:rsidRDefault="005805F1" w:rsidP="00066F28">
            <w:pPr>
              <w:tabs>
                <w:tab w:val="left" w:pos="7513"/>
              </w:tabs>
              <w:jc w:val="both"/>
              <w:rPr>
                <w:rFonts w:ascii="Arial Narrow" w:hAnsi="Arial Narrow" w:cs="Arial"/>
              </w:rPr>
            </w:pPr>
          </w:p>
          <w:p w14:paraId="05D9F162" w14:textId="77777777" w:rsidR="001C1CF2"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Designación del funcionario a quien se dirige: </w:t>
            </w:r>
          </w:p>
          <w:p w14:paraId="5416288A" w14:textId="77777777" w:rsidR="001C1CF2" w:rsidRPr="001C1CF2" w:rsidRDefault="001C1CF2" w:rsidP="00066F28">
            <w:pPr>
              <w:pStyle w:val="Sinespaciado"/>
              <w:jc w:val="both"/>
              <w:rPr>
                <w:rFonts w:ascii="Arial Narrow" w:hAnsi="Arial Narrow" w:cs="Arial"/>
                <w:lang w:val="es-CO"/>
              </w:rPr>
            </w:pPr>
          </w:p>
          <w:p w14:paraId="3915FB65" w14:textId="150DF900" w:rsidR="001C1CF2" w:rsidRPr="001C1CF2" w:rsidRDefault="001C1CF2" w:rsidP="00066F28">
            <w:pPr>
              <w:pStyle w:val="Sinespaciado"/>
              <w:jc w:val="both"/>
              <w:rPr>
                <w:rFonts w:ascii="Arial Narrow" w:hAnsi="Arial Narrow" w:cs="Arial"/>
                <w:lang w:val="es-CO"/>
              </w:rPr>
            </w:pPr>
            <w:r w:rsidRPr="001C1CF2">
              <w:rPr>
                <w:rFonts w:ascii="Arial Narrow" w:hAnsi="Arial Narrow" w:cs="Arial"/>
              </w:rPr>
              <w:lastRenderedPageBreak/>
              <w:t xml:space="preserve">Audiencia de pacto de cumplimiento fijada para el próximo 16 de abril de 2026 ante el Tribunal Administrativo del Atlántico. Exp. No. </w:t>
            </w:r>
            <w:r w:rsidRPr="001C1CF2">
              <w:rPr>
                <w:rFonts w:ascii="Arial Narrow" w:hAnsi="Arial Narrow"/>
              </w:rPr>
              <w:t>08-001-23-33-000-2025-00302-00</w:t>
            </w:r>
          </w:p>
          <w:p w14:paraId="7C59F313" w14:textId="77777777" w:rsidR="005805F1" w:rsidRPr="001C1CF2" w:rsidRDefault="005805F1" w:rsidP="00066F28">
            <w:pPr>
              <w:pStyle w:val="Sinespaciado"/>
              <w:jc w:val="both"/>
              <w:rPr>
                <w:rFonts w:ascii="Arial Narrow" w:hAnsi="Arial Narrow" w:cs="Arial"/>
                <w:lang w:val="es-CO"/>
              </w:rPr>
            </w:pPr>
          </w:p>
          <w:p w14:paraId="21CF214E"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Individualización de las partes y sus representantes:</w:t>
            </w:r>
          </w:p>
          <w:p w14:paraId="223D7B7D" w14:textId="77777777" w:rsidR="005805F1" w:rsidRPr="001C1CF2" w:rsidRDefault="005805F1" w:rsidP="00066F28">
            <w:pPr>
              <w:pStyle w:val="Sinespaciado"/>
              <w:jc w:val="both"/>
              <w:rPr>
                <w:rFonts w:ascii="Arial Narrow" w:hAnsi="Arial Narrow" w:cs="Arial"/>
                <w:lang w:val="es-CO"/>
              </w:rPr>
            </w:pPr>
          </w:p>
          <w:p w14:paraId="2BB72F32" w14:textId="77777777" w:rsidR="005805F1" w:rsidRPr="001C1CF2" w:rsidRDefault="005805F1" w:rsidP="00066F28">
            <w:pPr>
              <w:pStyle w:val="Sinespaciado"/>
              <w:jc w:val="both"/>
              <w:rPr>
                <w:rFonts w:ascii="Arial Narrow" w:hAnsi="Arial Narrow" w:cs="Arial"/>
                <w:lang w:val="es-CO"/>
              </w:rPr>
            </w:pPr>
            <w:r w:rsidRPr="001C1CF2">
              <w:rPr>
                <w:rFonts w:ascii="Arial Narrow" w:hAnsi="Arial Narrow" w:cs="Arial"/>
                <w:lang w:val="es-CO"/>
              </w:rPr>
              <w:t>Este ítem ya fue desarrollado en puntos anteriores</w:t>
            </w:r>
          </w:p>
          <w:p w14:paraId="2D9A6144" w14:textId="77777777" w:rsidR="005805F1" w:rsidRPr="001C1CF2" w:rsidRDefault="005805F1" w:rsidP="00066F28">
            <w:pPr>
              <w:autoSpaceDE w:val="0"/>
              <w:autoSpaceDN w:val="0"/>
              <w:adjustRightInd w:val="0"/>
              <w:jc w:val="both"/>
              <w:rPr>
                <w:rFonts w:ascii="Arial Narrow" w:eastAsia="Calibri" w:hAnsi="Arial Narrow" w:cs="Arial"/>
                <w:color w:val="000000"/>
              </w:rPr>
            </w:pPr>
            <w:r w:rsidRPr="001C1CF2">
              <w:rPr>
                <w:rFonts w:ascii="Arial Narrow" w:eastAsia="Calibri" w:hAnsi="Arial Narrow" w:cs="Arial"/>
                <w:color w:val="000000"/>
              </w:rPr>
              <w:t xml:space="preserve"> </w:t>
            </w:r>
          </w:p>
          <w:p w14:paraId="169227DA" w14:textId="77777777" w:rsidR="005805F1"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Aspectos que se quieren conciliar y los hechos en que se fundamentan: </w:t>
            </w:r>
          </w:p>
          <w:p w14:paraId="4CFB0343" w14:textId="77777777" w:rsidR="00066F28" w:rsidRDefault="00066F28" w:rsidP="00066F28">
            <w:pPr>
              <w:pStyle w:val="Sinespaciado"/>
              <w:jc w:val="both"/>
              <w:rPr>
                <w:rFonts w:ascii="Arial Narrow" w:hAnsi="Arial Narrow" w:cs="Arial"/>
                <w:lang w:val="es-CO"/>
              </w:rPr>
            </w:pPr>
          </w:p>
          <w:p w14:paraId="78D08937" w14:textId="42C546F8" w:rsidR="004159D2" w:rsidRPr="004159D2" w:rsidRDefault="004159D2" w:rsidP="004159D2">
            <w:pPr>
              <w:pStyle w:val="Sinespaciado"/>
              <w:jc w:val="both"/>
              <w:rPr>
                <w:rFonts w:ascii="Arial Narrow" w:hAnsi="Arial Narrow" w:cs="Arial"/>
                <w:lang w:val="es-CO"/>
              </w:rPr>
            </w:pPr>
            <w:r>
              <w:rPr>
                <w:rFonts w:ascii="Arial Narrow" w:hAnsi="Arial Narrow" w:cs="Arial"/>
                <w:lang w:val="es-CO"/>
              </w:rPr>
              <w:t>Que se declare que existió v</w:t>
            </w:r>
            <w:r w:rsidRPr="001C1CF2">
              <w:rPr>
                <w:rFonts w:ascii="Arial Narrow" w:hAnsi="Arial Narrow" w:cs="Arial"/>
              </w:rPr>
              <w:t xml:space="preserve">iolación de </w:t>
            </w:r>
            <w:r w:rsidRPr="001C1CF2">
              <w:rPr>
                <w:rFonts w:ascii="Arial Narrow" w:eastAsiaTheme="minorHAnsi" w:hAnsi="Arial Narrow" w:cs="Calibri-Bold"/>
                <w:b/>
                <w:bCs/>
              </w:rPr>
              <w:t>derecho e intereses colectivos amenazados</w:t>
            </w:r>
            <w:r w:rsidRPr="001C1CF2">
              <w:rPr>
                <w:rFonts w:ascii="Arial Narrow" w:eastAsiaTheme="minorHAnsi" w:hAnsi="Arial Narrow" w:cs="Calibri"/>
              </w:rPr>
              <w:t>,  consagrados en el artículo 4° de la</w:t>
            </w:r>
            <w:r w:rsidRPr="001C1CF2">
              <w:rPr>
                <w:rFonts w:ascii="Arial Narrow" w:hAnsi="Arial Narrow" w:cs="Arial"/>
              </w:rPr>
              <w:t xml:space="preserve"> </w:t>
            </w:r>
            <w:r w:rsidRPr="001C1CF2">
              <w:rPr>
                <w:rFonts w:ascii="Arial Narrow" w:eastAsiaTheme="minorHAnsi" w:hAnsi="Arial Narrow" w:cs="Calibri"/>
              </w:rPr>
              <w:t>ley 472 de 1998, literal b). (la moralidad Administrativa), Literal d). (el goce del espacio</w:t>
            </w:r>
            <w:r w:rsidRPr="001C1CF2">
              <w:rPr>
                <w:rFonts w:ascii="Arial Narrow" w:hAnsi="Arial Narrow" w:cs="Arial"/>
              </w:rPr>
              <w:t xml:space="preserve"> </w:t>
            </w:r>
            <w:r w:rsidRPr="001C1CF2">
              <w:rPr>
                <w:rFonts w:ascii="Arial Narrow" w:eastAsiaTheme="minorHAnsi" w:hAnsi="Arial Narrow" w:cs="Calibri"/>
              </w:rPr>
              <w:t>público y la utilización y defensa de los bienes de uso público), literal e). (la defensa del patrimonio público).</w:t>
            </w:r>
          </w:p>
          <w:p w14:paraId="732D04AE" w14:textId="77777777" w:rsidR="004159D2" w:rsidRPr="001C1CF2" w:rsidRDefault="004159D2" w:rsidP="004159D2">
            <w:pPr>
              <w:tabs>
                <w:tab w:val="left" w:pos="7513"/>
              </w:tabs>
              <w:jc w:val="both"/>
              <w:rPr>
                <w:rFonts w:ascii="Arial Narrow" w:hAnsi="Arial Narrow" w:cs="Arial"/>
              </w:rPr>
            </w:pPr>
          </w:p>
          <w:p w14:paraId="7FCE3103" w14:textId="77777777" w:rsidR="006F40D7" w:rsidRDefault="004159D2" w:rsidP="006F40D7">
            <w:pPr>
              <w:jc w:val="both"/>
              <w:rPr>
                <w:rFonts w:ascii="Arial Narrow" w:eastAsiaTheme="minorHAnsi" w:hAnsi="Arial Narrow" w:cs="Calibri"/>
              </w:rPr>
            </w:pPr>
            <w:r w:rsidRPr="001C1CF2">
              <w:rPr>
                <w:rFonts w:ascii="Arial Narrow" w:hAnsi="Arial Narrow" w:cs="Arial"/>
              </w:rPr>
              <w:t xml:space="preserve">El actor popular sostiene cementos argos está </w:t>
            </w:r>
            <w:r w:rsidRPr="001C1CF2">
              <w:rPr>
                <w:rFonts w:ascii="Arial Narrow" w:eastAsiaTheme="minorHAnsi" w:hAnsi="Arial Narrow" w:cs="Calibri"/>
              </w:rPr>
              <w:t>ocupando y</w:t>
            </w:r>
            <w:r w:rsidRPr="001C1CF2">
              <w:rPr>
                <w:rFonts w:ascii="Arial Narrow" w:hAnsi="Arial Narrow" w:cs="Arial"/>
              </w:rPr>
              <w:t xml:space="preserve"> </w:t>
            </w:r>
            <w:r w:rsidRPr="001C1CF2">
              <w:rPr>
                <w:rFonts w:ascii="Arial Narrow" w:eastAsiaTheme="minorHAnsi" w:hAnsi="Arial Narrow" w:cs="Calibri"/>
              </w:rPr>
              <w:t>poseyendo en su beneficio ilegalmente tres (3) predios rurales colindantes entre sí de</w:t>
            </w:r>
            <w:r w:rsidRPr="001C1CF2">
              <w:rPr>
                <w:rFonts w:ascii="Arial Narrow" w:hAnsi="Arial Narrow" w:cs="Arial"/>
              </w:rPr>
              <w:t xml:space="preserve"> </w:t>
            </w:r>
            <w:r w:rsidRPr="001C1CF2">
              <w:rPr>
                <w:rFonts w:ascii="Arial Narrow" w:eastAsiaTheme="minorHAnsi" w:hAnsi="Arial Narrow" w:cs="Calibri"/>
              </w:rPr>
              <w:t>400 hectáreas de propiedad de la Nación por extinción de dominio que a ella se le hizo mediante resolución 5937 de 14/09/1964 del INCORA</w:t>
            </w:r>
            <w:r w:rsidR="00977624">
              <w:rPr>
                <w:rFonts w:ascii="Arial Narrow" w:eastAsiaTheme="minorHAnsi" w:hAnsi="Arial Narrow" w:cs="Calibri"/>
              </w:rPr>
              <w:t>.</w:t>
            </w:r>
          </w:p>
          <w:p w14:paraId="0E132689" w14:textId="77777777" w:rsidR="006F40D7" w:rsidRDefault="006F40D7" w:rsidP="006F40D7">
            <w:pPr>
              <w:jc w:val="both"/>
              <w:rPr>
                <w:rFonts w:ascii="Arial Narrow" w:eastAsiaTheme="minorHAnsi" w:hAnsi="Arial Narrow" w:cs="Calibri"/>
              </w:rPr>
            </w:pPr>
          </w:p>
          <w:p w14:paraId="21B6BA39" w14:textId="46721FA8" w:rsidR="006F40D7" w:rsidRPr="006F40D7" w:rsidRDefault="006F40D7" w:rsidP="006F40D7">
            <w:pPr>
              <w:jc w:val="both"/>
              <w:rPr>
                <w:rFonts w:ascii="Arial Narrow" w:eastAsiaTheme="minorHAnsi" w:hAnsi="Arial Narrow" w:cs="Calibri"/>
              </w:rPr>
            </w:pPr>
            <w:r>
              <w:rPr>
                <w:rFonts w:ascii="Arial Narrow" w:eastAsiaTheme="minorHAnsi" w:hAnsi="Arial Narrow" w:cs="Calibri"/>
              </w:rPr>
              <w:t xml:space="preserve">En consecuencia el demandante solicita que se ordende </w:t>
            </w:r>
            <w:r w:rsidRPr="006F40D7">
              <w:rPr>
                <w:rFonts w:ascii="Arial Narrow" w:eastAsiaTheme="minorHAnsi" w:hAnsi="Arial Narrow" w:cs="Calibri"/>
              </w:rPr>
              <w:t>la restitución inmediata a la Nación de los tres predios inenajebles, inembargables e imprescriptibles que se identificaron con matrícula inmobiliaria 019-394, 019-398 y 019-399, que por ella fueron ( i ) i l í ci tamente adquiridos, mediante escritura pública 3088 de 30/07/1972 de la Notaría Quinta de Medellin, (ii) posteriormente ilegalmente englobados e irregularmente registrados en un único predio en pleno dominio, mediante escritura pública 933 del 09/05/1980 de la Notaría Segunda de Medellin, generando la matrícula inmobiliaria 019-895 de la ORIP Puerto Berrio.</w:t>
            </w:r>
          </w:p>
          <w:p w14:paraId="1765B38D" w14:textId="77777777" w:rsidR="005805F1" w:rsidRPr="001C1CF2" w:rsidRDefault="005805F1" w:rsidP="00066F28">
            <w:pPr>
              <w:jc w:val="both"/>
              <w:rPr>
                <w:rFonts w:ascii="Arial Narrow" w:hAnsi="Arial Narrow"/>
              </w:rPr>
            </w:pPr>
          </w:p>
          <w:p w14:paraId="33A5D4CE"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Pretensiones que formula el convocante: </w:t>
            </w:r>
          </w:p>
          <w:p w14:paraId="7BE1BF98" w14:textId="77777777" w:rsidR="005805F1" w:rsidRPr="001C1CF2" w:rsidRDefault="005805F1" w:rsidP="00066F28">
            <w:pPr>
              <w:pStyle w:val="Sinespaciado"/>
              <w:jc w:val="both"/>
              <w:rPr>
                <w:rFonts w:ascii="Arial Narrow" w:hAnsi="Arial Narrow" w:cs="Arial"/>
                <w:lang w:val="es-CO"/>
              </w:rPr>
            </w:pPr>
          </w:p>
          <w:p w14:paraId="1E80257A" w14:textId="77777777" w:rsidR="005805F1" w:rsidRPr="001C1CF2" w:rsidRDefault="005805F1" w:rsidP="00066F28">
            <w:pPr>
              <w:autoSpaceDE w:val="0"/>
              <w:autoSpaceDN w:val="0"/>
              <w:adjustRightInd w:val="0"/>
              <w:jc w:val="both"/>
              <w:rPr>
                <w:rFonts w:ascii="Arial Narrow" w:eastAsia="Calibri" w:hAnsi="Arial Narrow" w:cs="Garamond"/>
                <w:lang w:eastAsia="es-CO"/>
              </w:rPr>
            </w:pPr>
            <w:r w:rsidRPr="001C1CF2">
              <w:rPr>
                <w:rFonts w:ascii="Arial Narrow" w:eastAsia="Calibri" w:hAnsi="Arial Narrow" w:cs="Garamond"/>
                <w:lang w:eastAsia="es-CO"/>
              </w:rPr>
              <w:t>Este ítem ya fue desarrollado en las pretensiones</w:t>
            </w:r>
          </w:p>
          <w:p w14:paraId="352A8B85" w14:textId="77777777" w:rsidR="005805F1" w:rsidRPr="001C1CF2" w:rsidRDefault="005805F1" w:rsidP="00066F28">
            <w:pPr>
              <w:pStyle w:val="Sinespaciado"/>
              <w:jc w:val="both"/>
              <w:rPr>
                <w:rFonts w:ascii="Arial Narrow" w:hAnsi="Arial Narrow" w:cs="Arial"/>
                <w:lang w:val="es-CO"/>
              </w:rPr>
            </w:pPr>
          </w:p>
          <w:p w14:paraId="3C372AC2"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Indicación de la acción contencioso-administrativa que se ejerce: </w:t>
            </w:r>
          </w:p>
          <w:p w14:paraId="2B702C38" w14:textId="77777777" w:rsidR="005805F1" w:rsidRPr="001C1CF2" w:rsidRDefault="005805F1" w:rsidP="00066F28">
            <w:pPr>
              <w:pStyle w:val="Sinespaciado"/>
              <w:jc w:val="both"/>
              <w:rPr>
                <w:rFonts w:ascii="Arial Narrow" w:hAnsi="Arial Narrow" w:cs="Arial"/>
                <w:lang w:val="es-CO"/>
              </w:rPr>
            </w:pPr>
          </w:p>
          <w:p w14:paraId="095D2EB9" w14:textId="76F44F7B" w:rsidR="005805F1" w:rsidRPr="001C1CF2" w:rsidRDefault="005805F1" w:rsidP="00066F28">
            <w:pPr>
              <w:pStyle w:val="Sinespaciado"/>
              <w:jc w:val="both"/>
              <w:rPr>
                <w:rFonts w:ascii="Arial Narrow" w:hAnsi="Arial Narrow" w:cs="Arial"/>
                <w:lang w:val="es-CO"/>
              </w:rPr>
            </w:pPr>
            <w:r w:rsidRPr="001C1CF2">
              <w:rPr>
                <w:rFonts w:ascii="Arial Narrow" w:hAnsi="Arial Narrow" w:cs="Arial"/>
                <w:lang w:val="es-CO"/>
              </w:rPr>
              <w:t xml:space="preserve">Acción </w:t>
            </w:r>
            <w:r w:rsidR="001C1CF2" w:rsidRPr="001C1CF2">
              <w:rPr>
                <w:rFonts w:ascii="Arial Narrow" w:hAnsi="Arial Narrow" w:cs="Arial"/>
                <w:lang w:val="es-CO"/>
              </w:rPr>
              <w:t>popular</w:t>
            </w:r>
          </w:p>
          <w:p w14:paraId="56D62288" w14:textId="77777777" w:rsidR="005805F1" w:rsidRPr="001C1CF2" w:rsidRDefault="005805F1" w:rsidP="00066F28">
            <w:pPr>
              <w:pStyle w:val="Sinespaciado"/>
              <w:jc w:val="both"/>
              <w:rPr>
                <w:rFonts w:ascii="Arial Narrow" w:hAnsi="Arial Narrow" w:cs="Arial"/>
                <w:lang w:val="es-CO"/>
              </w:rPr>
            </w:pPr>
          </w:p>
          <w:p w14:paraId="6FF7A581"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Relación de las pruebas que se acompañan y de las que se harían valer en el proceso: </w:t>
            </w:r>
          </w:p>
          <w:p w14:paraId="0A952780" w14:textId="77777777" w:rsidR="005805F1" w:rsidRPr="001C1CF2" w:rsidRDefault="005805F1" w:rsidP="00066F28">
            <w:pPr>
              <w:pStyle w:val="Sinespaciado"/>
              <w:jc w:val="both"/>
              <w:rPr>
                <w:rFonts w:ascii="Arial Narrow" w:hAnsi="Arial Narrow" w:cs="Arial"/>
                <w:lang w:val="es-CO"/>
              </w:rPr>
            </w:pPr>
          </w:p>
          <w:p w14:paraId="171900B1" w14:textId="77777777" w:rsidR="005805F1" w:rsidRPr="001C1CF2" w:rsidRDefault="005805F1" w:rsidP="00066F28">
            <w:pPr>
              <w:pStyle w:val="Sinespaciado"/>
              <w:jc w:val="both"/>
              <w:rPr>
                <w:rFonts w:ascii="Arial Narrow" w:hAnsi="Arial Narrow" w:cs="Arial"/>
                <w:lang w:val="es-CO"/>
              </w:rPr>
            </w:pPr>
            <w:r w:rsidRPr="001C1CF2">
              <w:rPr>
                <w:rFonts w:ascii="Arial Narrow" w:hAnsi="Arial Narrow" w:cs="Arial"/>
                <w:lang w:val="es-CO"/>
              </w:rPr>
              <w:t>Este ítem fue desarrollado en el punto 4 de soporte probatorio.</w:t>
            </w:r>
          </w:p>
          <w:p w14:paraId="353C39B4" w14:textId="77777777" w:rsidR="005805F1" w:rsidRPr="001C1CF2" w:rsidRDefault="005805F1" w:rsidP="00066F28">
            <w:pPr>
              <w:pStyle w:val="Sinespaciado"/>
              <w:ind w:left="720"/>
              <w:jc w:val="both"/>
              <w:rPr>
                <w:rFonts w:ascii="Arial Narrow" w:hAnsi="Arial Narrow" w:cs="Arial"/>
                <w:lang w:val="es-CO"/>
              </w:rPr>
            </w:pPr>
          </w:p>
          <w:p w14:paraId="627E7918"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Demostración del agotamiento de la vía gubernativa: </w:t>
            </w:r>
          </w:p>
          <w:p w14:paraId="28F86B3B" w14:textId="77777777" w:rsidR="005805F1" w:rsidRPr="001C1CF2" w:rsidRDefault="005805F1" w:rsidP="00066F28">
            <w:pPr>
              <w:pStyle w:val="Sinespaciado"/>
              <w:jc w:val="both"/>
              <w:rPr>
                <w:rFonts w:ascii="Arial Narrow" w:hAnsi="Arial Narrow" w:cs="Arial"/>
                <w:lang w:val="es-CO"/>
              </w:rPr>
            </w:pPr>
          </w:p>
          <w:p w14:paraId="5D368448" w14:textId="77777777" w:rsidR="005805F1" w:rsidRPr="001C1CF2" w:rsidRDefault="005805F1" w:rsidP="00066F28">
            <w:pPr>
              <w:pStyle w:val="Sinespaciado"/>
              <w:jc w:val="both"/>
              <w:rPr>
                <w:rFonts w:ascii="Arial Narrow" w:hAnsi="Arial Narrow" w:cs="Arial"/>
                <w:lang w:val="es-CO"/>
              </w:rPr>
            </w:pPr>
            <w:r w:rsidRPr="001C1CF2">
              <w:rPr>
                <w:rFonts w:ascii="Arial Narrow" w:hAnsi="Arial Narrow" w:cs="Arial"/>
                <w:lang w:val="es-CO"/>
              </w:rPr>
              <w:t>No hay lugar a ello</w:t>
            </w:r>
          </w:p>
          <w:p w14:paraId="0F7DB3CC" w14:textId="77777777" w:rsidR="005805F1" w:rsidRPr="001C1CF2" w:rsidRDefault="005805F1" w:rsidP="00066F28">
            <w:pPr>
              <w:pStyle w:val="Sinespaciado"/>
              <w:jc w:val="both"/>
              <w:rPr>
                <w:rFonts w:ascii="Arial Narrow" w:hAnsi="Arial Narrow" w:cs="Arial"/>
                <w:lang w:val="es-CO"/>
              </w:rPr>
            </w:pPr>
          </w:p>
          <w:p w14:paraId="64675354" w14:textId="77777777" w:rsidR="005805F1"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Estimación razonada de la cuantía: </w:t>
            </w:r>
          </w:p>
          <w:p w14:paraId="63197D39" w14:textId="77777777" w:rsidR="00E65951" w:rsidRDefault="00E65951" w:rsidP="00E65951">
            <w:pPr>
              <w:pStyle w:val="Sinespaciado"/>
              <w:jc w:val="both"/>
              <w:rPr>
                <w:rFonts w:ascii="Arial Narrow" w:hAnsi="Arial Narrow" w:cs="Arial"/>
                <w:lang w:val="es-CO"/>
              </w:rPr>
            </w:pPr>
          </w:p>
          <w:p w14:paraId="047269DC" w14:textId="75A9A67A" w:rsidR="00E65951" w:rsidRPr="00E65951" w:rsidRDefault="00E65951" w:rsidP="00E65951">
            <w:pPr>
              <w:pStyle w:val="Sinespaciado"/>
              <w:jc w:val="both"/>
              <w:rPr>
                <w:rFonts w:ascii="Arial Narrow" w:hAnsi="Arial Narrow" w:cs="Arial"/>
                <w:b/>
                <w:bCs/>
                <w:lang w:val="es-CO"/>
              </w:rPr>
            </w:pPr>
            <w:r>
              <w:rPr>
                <w:rFonts w:ascii="Arial Narrow" w:hAnsi="Arial Narrow" w:cs="Arial"/>
                <w:b/>
                <w:bCs/>
                <w:lang w:val="es-CO"/>
              </w:rPr>
              <w:lastRenderedPageBreak/>
              <w:t xml:space="preserve">No. </w:t>
            </w:r>
          </w:p>
          <w:p w14:paraId="6AF49C86" w14:textId="77777777" w:rsidR="005805F1" w:rsidRPr="001C1CF2" w:rsidRDefault="005805F1" w:rsidP="00066F28">
            <w:pPr>
              <w:pStyle w:val="Sinespaciado"/>
              <w:ind w:left="720"/>
              <w:jc w:val="both"/>
              <w:rPr>
                <w:rFonts w:ascii="Arial Narrow" w:hAnsi="Arial Narrow" w:cs="Arial"/>
                <w:lang w:val="es-CO"/>
              </w:rPr>
            </w:pPr>
          </w:p>
          <w:p w14:paraId="6AC8C63D"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Manifestación bajo la novedad de juramento de no haber presentado demandas o solicitudes de conciliación con base en los mismos hechos: </w:t>
            </w:r>
          </w:p>
          <w:p w14:paraId="3369F358" w14:textId="77777777" w:rsidR="005805F1" w:rsidRPr="001C1CF2" w:rsidRDefault="005805F1" w:rsidP="00066F28">
            <w:pPr>
              <w:pStyle w:val="Sinespaciado"/>
              <w:jc w:val="both"/>
              <w:rPr>
                <w:rFonts w:ascii="Arial Narrow" w:hAnsi="Arial Narrow" w:cs="Arial"/>
                <w:lang w:val="es-CO"/>
              </w:rPr>
            </w:pPr>
            <w:r w:rsidRPr="001C1CF2">
              <w:rPr>
                <w:rFonts w:ascii="Arial Narrow" w:hAnsi="Arial Narrow" w:cs="Arial"/>
                <w:lang w:val="es-CO"/>
              </w:rPr>
              <w:t>No.</w:t>
            </w:r>
          </w:p>
          <w:p w14:paraId="02A94114" w14:textId="77777777" w:rsidR="005805F1" w:rsidRPr="001C1CF2" w:rsidRDefault="005805F1" w:rsidP="00066F28">
            <w:pPr>
              <w:pStyle w:val="Sinespaciado"/>
              <w:jc w:val="both"/>
              <w:rPr>
                <w:rFonts w:ascii="Arial Narrow" w:hAnsi="Arial Narrow" w:cs="Arial"/>
                <w:lang w:val="es-CO"/>
              </w:rPr>
            </w:pPr>
          </w:p>
          <w:p w14:paraId="32324208"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Indicación del lugar para que se surtan las notificaciones, el número o números telefónicos, número de fax y correo electrónico de las partes: </w:t>
            </w:r>
          </w:p>
          <w:p w14:paraId="4D1BF55D" w14:textId="77777777" w:rsidR="005805F1" w:rsidRPr="001C1CF2" w:rsidRDefault="005805F1" w:rsidP="00066F28">
            <w:pPr>
              <w:pStyle w:val="Sinespaciado"/>
              <w:ind w:left="720"/>
              <w:jc w:val="both"/>
              <w:rPr>
                <w:rFonts w:ascii="Arial Narrow" w:hAnsi="Arial Narrow" w:cs="Arial"/>
                <w:lang w:val="es-CO"/>
              </w:rPr>
            </w:pPr>
          </w:p>
          <w:p w14:paraId="68F45D80" w14:textId="77777777" w:rsidR="005805F1" w:rsidRPr="001C1CF2" w:rsidRDefault="005805F1" w:rsidP="00066F28">
            <w:pPr>
              <w:pStyle w:val="Sinespaciado"/>
              <w:jc w:val="both"/>
              <w:rPr>
                <w:rFonts w:ascii="Arial Narrow" w:hAnsi="Arial Narrow" w:cs="Arial"/>
                <w:lang w:val="es-CO"/>
              </w:rPr>
            </w:pPr>
          </w:p>
          <w:p w14:paraId="01B3E2BA"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Copia de la petición de conciliación enviada previamente al convocado:</w:t>
            </w:r>
          </w:p>
          <w:p w14:paraId="6D0DAA45" w14:textId="532A2531" w:rsidR="005805F1" w:rsidRPr="001C1CF2" w:rsidRDefault="001C1CF2" w:rsidP="00066F28">
            <w:pPr>
              <w:pStyle w:val="Sinespaciado"/>
              <w:jc w:val="both"/>
              <w:rPr>
                <w:rFonts w:ascii="Arial Narrow" w:hAnsi="Arial Narrow" w:cs="Arial"/>
                <w:lang w:val="es-CO"/>
              </w:rPr>
            </w:pPr>
            <w:r w:rsidRPr="001C1CF2">
              <w:rPr>
                <w:rFonts w:ascii="Arial Narrow" w:hAnsi="Arial Narrow" w:cs="Arial"/>
                <w:lang w:val="es-CO"/>
              </w:rPr>
              <w:t>Si</w:t>
            </w:r>
          </w:p>
          <w:p w14:paraId="404A1BD2" w14:textId="77777777" w:rsidR="005805F1" w:rsidRPr="001C1CF2" w:rsidRDefault="005805F1" w:rsidP="00066F28">
            <w:pPr>
              <w:pStyle w:val="Sinespaciado"/>
              <w:jc w:val="both"/>
              <w:rPr>
                <w:rFonts w:ascii="Arial Narrow" w:hAnsi="Arial Narrow" w:cs="Arial"/>
                <w:lang w:val="es-CO"/>
              </w:rPr>
            </w:pPr>
          </w:p>
          <w:p w14:paraId="761A1057" w14:textId="77777777" w:rsidR="005805F1" w:rsidRPr="001C1CF2" w:rsidRDefault="005805F1" w:rsidP="00066F28">
            <w:pPr>
              <w:pStyle w:val="Sinespaciado"/>
              <w:numPr>
                <w:ilvl w:val="0"/>
                <w:numId w:val="1"/>
              </w:numPr>
              <w:jc w:val="both"/>
              <w:rPr>
                <w:rFonts w:ascii="Arial Narrow" w:hAnsi="Arial Narrow" w:cs="Arial"/>
                <w:lang w:val="es-CO"/>
              </w:rPr>
            </w:pPr>
            <w:r w:rsidRPr="001C1CF2">
              <w:rPr>
                <w:rFonts w:ascii="Arial Narrow" w:hAnsi="Arial Narrow" w:cs="Arial"/>
                <w:lang w:val="es-CO"/>
              </w:rPr>
              <w:t xml:space="preserve">La firma del abogado del solicitante o solicitantes: </w:t>
            </w:r>
          </w:p>
          <w:p w14:paraId="60F1DDA1" w14:textId="77777777" w:rsidR="005805F1" w:rsidRPr="001C1CF2" w:rsidRDefault="005805F1" w:rsidP="00066F28">
            <w:pPr>
              <w:pStyle w:val="Prrafodelista"/>
              <w:tabs>
                <w:tab w:val="left" w:pos="7513"/>
              </w:tabs>
              <w:ind w:left="0"/>
              <w:jc w:val="both"/>
              <w:rPr>
                <w:rFonts w:ascii="Arial Narrow" w:hAnsi="Arial Narrow" w:cs="Arial"/>
              </w:rPr>
            </w:pPr>
            <w:r w:rsidRPr="001C1CF2">
              <w:rPr>
                <w:rFonts w:ascii="Arial Narrow" w:hAnsi="Arial Narrow" w:cs="Arial"/>
              </w:rPr>
              <w:t>Sí.</w:t>
            </w:r>
          </w:p>
          <w:p w14:paraId="4A4DD8A2" w14:textId="77777777" w:rsidR="005805F1" w:rsidRDefault="005805F1" w:rsidP="00066F28">
            <w:pPr>
              <w:pStyle w:val="Prrafodelista"/>
              <w:tabs>
                <w:tab w:val="left" w:pos="7513"/>
              </w:tabs>
              <w:ind w:left="0"/>
              <w:jc w:val="both"/>
              <w:rPr>
                <w:rFonts w:ascii="Arial Narrow" w:hAnsi="Arial Narrow" w:cs="Arial"/>
              </w:rPr>
            </w:pPr>
          </w:p>
          <w:p w14:paraId="72004FB6" w14:textId="77777777" w:rsidR="006715DB" w:rsidRDefault="006715DB" w:rsidP="00066F28">
            <w:pPr>
              <w:pStyle w:val="Prrafodelista"/>
              <w:tabs>
                <w:tab w:val="left" w:pos="7513"/>
              </w:tabs>
              <w:ind w:left="0"/>
              <w:jc w:val="both"/>
              <w:rPr>
                <w:rFonts w:ascii="Arial Narrow" w:hAnsi="Arial Narrow" w:cs="Arial"/>
              </w:rPr>
            </w:pPr>
          </w:p>
          <w:p w14:paraId="1F621F8A" w14:textId="77777777" w:rsidR="006715DB" w:rsidRDefault="006715DB" w:rsidP="00066F28">
            <w:pPr>
              <w:pStyle w:val="Prrafodelista"/>
              <w:tabs>
                <w:tab w:val="left" w:pos="7513"/>
              </w:tabs>
              <w:ind w:left="0"/>
              <w:jc w:val="both"/>
              <w:rPr>
                <w:rFonts w:ascii="Arial Narrow" w:hAnsi="Arial Narrow" w:cs="Arial"/>
              </w:rPr>
            </w:pPr>
          </w:p>
          <w:p w14:paraId="24383C93" w14:textId="77777777" w:rsidR="006715DB" w:rsidRDefault="006715DB" w:rsidP="00066F28">
            <w:pPr>
              <w:pStyle w:val="Prrafodelista"/>
              <w:tabs>
                <w:tab w:val="left" w:pos="7513"/>
              </w:tabs>
              <w:ind w:left="0"/>
              <w:jc w:val="both"/>
              <w:rPr>
                <w:rFonts w:ascii="Arial Narrow" w:hAnsi="Arial Narrow" w:cs="Arial"/>
              </w:rPr>
            </w:pPr>
          </w:p>
          <w:p w14:paraId="58878424" w14:textId="77777777" w:rsidR="006715DB" w:rsidRDefault="006715DB" w:rsidP="00066F28">
            <w:pPr>
              <w:pStyle w:val="Prrafodelista"/>
              <w:tabs>
                <w:tab w:val="left" w:pos="7513"/>
              </w:tabs>
              <w:ind w:left="0"/>
              <w:jc w:val="both"/>
              <w:rPr>
                <w:rFonts w:ascii="Arial Narrow" w:hAnsi="Arial Narrow" w:cs="Arial"/>
              </w:rPr>
            </w:pPr>
          </w:p>
          <w:p w14:paraId="30C55435" w14:textId="77777777" w:rsidR="006715DB" w:rsidRDefault="006715DB" w:rsidP="00066F28">
            <w:pPr>
              <w:pStyle w:val="Prrafodelista"/>
              <w:tabs>
                <w:tab w:val="left" w:pos="7513"/>
              </w:tabs>
              <w:ind w:left="0"/>
              <w:jc w:val="both"/>
              <w:rPr>
                <w:rFonts w:ascii="Arial Narrow" w:hAnsi="Arial Narrow" w:cs="Arial"/>
              </w:rPr>
            </w:pPr>
          </w:p>
          <w:p w14:paraId="2D71005E" w14:textId="77777777" w:rsidR="006715DB" w:rsidRDefault="006715DB" w:rsidP="00066F28">
            <w:pPr>
              <w:pStyle w:val="Prrafodelista"/>
              <w:tabs>
                <w:tab w:val="left" w:pos="7513"/>
              </w:tabs>
              <w:ind w:left="0"/>
              <w:jc w:val="both"/>
              <w:rPr>
                <w:rFonts w:ascii="Arial Narrow" w:hAnsi="Arial Narrow" w:cs="Arial"/>
              </w:rPr>
            </w:pPr>
          </w:p>
          <w:p w14:paraId="0B125269" w14:textId="77777777" w:rsidR="006715DB" w:rsidRDefault="006715DB" w:rsidP="00066F28">
            <w:pPr>
              <w:pStyle w:val="Prrafodelista"/>
              <w:tabs>
                <w:tab w:val="left" w:pos="7513"/>
              </w:tabs>
              <w:ind w:left="0"/>
              <w:jc w:val="both"/>
              <w:rPr>
                <w:rFonts w:ascii="Arial Narrow" w:hAnsi="Arial Narrow" w:cs="Arial"/>
              </w:rPr>
            </w:pPr>
          </w:p>
          <w:p w14:paraId="1166CB61" w14:textId="77777777" w:rsidR="006715DB" w:rsidRDefault="006715DB" w:rsidP="00066F28">
            <w:pPr>
              <w:pStyle w:val="Prrafodelista"/>
              <w:tabs>
                <w:tab w:val="left" w:pos="7513"/>
              </w:tabs>
              <w:ind w:left="0"/>
              <w:jc w:val="both"/>
              <w:rPr>
                <w:rFonts w:ascii="Arial Narrow" w:hAnsi="Arial Narrow" w:cs="Arial"/>
              </w:rPr>
            </w:pPr>
          </w:p>
          <w:p w14:paraId="01E28926" w14:textId="77777777" w:rsidR="006715DB" w:rsidRDefault="006715DB" w:rsidP="00066F28">
            <w:pPr>
              <w:pStyle w:val="Prrafodelista"/>
              <w:tabs>
                <w:tab w:val="left" w:pos="7513"/>
              </w:tabs>
              <w:ind w:left="0"/>
              <w:jc w:val="both"/>
              <w:rPr>
                <w:rFonts w:ascii="Arial Narrow" w:hAnsi="Arial Narrow" w:cs="Arial"/>
              </w:rPr>
            </w:pPr>
          </w:p>
          <w:p w14:paraId="1ACFD477" w14:textId="77777777" w:rsidR="006715DB" w:rsidRDefault="006715DB" w:rsidP="00066F28">
            <w:pPr>
              <w:pStyle w:val="Prrafodelista"/>
              <w:tabs>
                <w:tab w:val="left" w:pos="7513"/>
              </w:tabs>
              <w:ind w:left="0"/>
              <w:jc w:val="both"/>
              <w:rPr>
                <w:rFonts w:ascii="Arial Narrow" w:hAnsi="Arial Narrow" w:cs="Arial"/>
              </w:rPr>
            </w:pPr>
          </w:p>
          <w:p w14:paraId="2859F3D2" w14:textId="77777777" w:rsidR="006715DB" w:rsidRDefault="006715DB" w:rsidP="00066F28">
            <w:pPr>
              <w:pStyle w:val="Prrafodelista"/>
              <w:tabs>
                <w:tab w:val="left" w:pos="7513"/>
              </w:tabs>
              <w:ind w:left="0"/>
              <w:jc w:val="both"/>
              <w:rPr>
                <w:rFonts w:ascii="Arial Narrow" w:hAnsi="Arial Narrow" w:cs="Arial"/>
              </w:rPr>
            </w:pPr>
          </w:p>
          <w:p w14:paraId="70C06B48" w14:textId="77777777" w:rsidR="006715DB" w:rsidRDefault="006715DB" w:rsidP="00066F28">
            <w:pPr>
              <w:pStyle w:val="Prrafodelista"/>
              <w:tabs>
                <w:tab w:val="left" w:pos="7513"/>
              </w:tabs>
              <w:ind w:left="0"/>
              <w:jc w:val="both"/>
              <w:rPr>
                <w:rFonts w:ascii="Arial Narrow" w:hAnsi="Arial Narrow" w:cs="Arial"/>
              </w:rPr>
            </w:pPr>
          </w:p>
          <w:p w14:paraId="62AEE41F" w14:textId="77777777" w:rsidR="006715DB" w:rsidRDefault="006715DB" w:rsidP="00066F28">
            <w:pPr>
              <w:pStyle w:val="Prrafodelista"/>
              <w:tabs>
                <w:tab w:val="left" w:pos="7513"/>
              </w:tabs>
              <w:ind w:left="0"/>
              <w:jc w:val="both"/>
              <w:rPr>
                <w:rFonts w:ascii="Arial Narrow" w:hAnsi="Arial Narrow" w:cs="Arial"/>
              </w:rPr>
            </w:pPr>
          </w:p>
          <w:p w14:paraId="3F1BBBEB" w14:textId="77777777" w:rsidR="006715DB" w:rsidRDefault="006715DB" w:rsidP="00066F28">
            <w:pPr>
              <w:pStyle w:val="Prrafodelista"/>
              <w:tabs>
                <w:tab w:val="left" w:pos="7513"/>
              </w:tabs>
              <w:ind w:left="0"/>
              <w:jc w:val="both"/>
              <w:rPr>
                <w:rFonts w:ascii="Arial Narrow" w:hAnsi="Arial Narrow" w:cs="Arial"/>
              </w:rPr>
            </w:pPr>
          </w:p>
          <w:p w14:paraId="29D47E8F" w14:textId="77777777" w:rsidR="006715DB" w:rsidRDefault="006715DB" w:rsidP="00066F28">
            <w:pPr>
              <w:pStyle w:val="Prrafodelista"/>
              <w:tabs>
                <w:tab w:val="left" w:pos="7513"/>
              </w:tabs>
              <w:ind w:left="0"/>
              <w:jc w:val="both"/>
              <w:rPr>
                <w:rFonts w:ascii="Arial Narrow" w:hAnsi="Arial Narrow" w:cs="Arial"/>
              </w:rPr>
            </w:pPr>
          </w:p>
          <w:p w14:paraId="42B06D7C" w14:textId="77777777" w:rsidR="006715DB" w:rsidRDefault="006715DB" w:rsidP="00066F28">
            <w:pPr>
              <w:pStyle w:val="Prrafodelista"/>
              <w:tabs>
                <w:tab w:val="left" w:pos="7513"/>
              </w:tabs>
              <w:ind w:left="0"/>
              <w:jc w:val="both"/>
              <w:rPr>
                <w:rFonts w:ascii="Arial Narrow" w:hAnsi="Arial Narrow" w:cs="Arial"/>
              </w:rPr>
            </w:pPr>
          </w:p>
          <w:p w14:paraId="1000803C" w14:textId="77777777" w:rsidR="006715DB" w:rsidRDefault="006715DB" w:rsidP="00066F28">
            <w:pPr>
              <w:pStyle w:val="Prrafodelista"/>
              <w:tabs>
                <w:tab w:val="left" w:pos="7513"/>
              </w:tabs>
              <w:ind w:left="0"/>
              <w:jc w:val="both"/>
              <w:rPr>
                <w:rFonts w:ascii="Arial Narrow" w:hAnsi="Arial Narrow" w:cs="Arial"/>
              </w:rPr>
            </w:pPr>
          </w:p>
          <w:p w14:paraId="1A7EEC75" w14:textId="77777777" w:rsidR="006715DB" w:rsidRDefault="006715DB" w:rsidP="00066F28">
            <w:pPr>
              <w:pStyle w:val="Prrafodelista"/>
              <w:tabs>
                <w:tab w:val="left" w:pos="7513"/>
              </w:tabs>
              <w:ind w:left="0"/>
              <w:jc w:val="both"/>
              <w:rPr>
                <w:rFonts w:ascii="Arial Narrow" w:hAnsi="Arial Narrow" w:cs="Arial"/>
              </w:rPr>
            </w:pPr>
          </w:p>
          <w:p w14:paraId="07C7AA60" w14:textId="77777777" w:rsidR="006715DB" w:rsidRDefault="006715DB" w:rsidP="00066F28">
            <w:pPr>
              <w:pStyle w:val="Prrafodelista"/>
              <w:tabs>
                <w:tab w:val="left" w:pos="7513"/>
              </w:tabs>
              <w:ind w:left="0"/>
              <w:jc w:val="both"/>
              <w:rPr>
                <w:rFonts w:ascii="Arial Narrow" w:hAnsi="Arial Narrow" w:cs="Arial"/>
              </w:rPr>
            </w:pPr>
          </w:p>
          <w:p w14:paraId="55E2EAB1" w14:textId="77777777" w:rsidR="006715DB" w:rsidRDefault="006715DB" w:rsidP="00066F28">
            <w:pPr>
              <w:pStyle w:val="Prrafodelista"/>
              <w:tabs>
                <w:tab w:val="left" w:pos="7513"/>
              </w:tabs>
              <w:ind w:left="0"/>
              <w:jc w:val="both"/>
              <w:rPr>
                <w:rFonts w:ascii="Arial Narrow" w:hAnsi="Arial Narrow" w:cs="Arial"/>
              </w:rPr>
            </w:pPr>
          </w:p>
          <w:p w14:paraId="5C8BD0C0" w14:textId="77777777" w:rsidR="006715DB" w:rsidRDefault="006715DB" w:rsidP="00066F28">
            <w:pPr>
              <w:pStyle w:val="Prrafodelista"/>
              <w:tabs>
                <w:tab w:val="left" w:pos="7513"/>
              </w:tabs>
              <w:ind w:left="0"/>
              <w:jc w:val="both"/>
              <w:rPr>
                <w:rFonts w:ascii="Arial Narrow" w:hAnsi="Arial Narrow" w:cs="Arial"/>
              </w:rPr>
            </w:pPr>
          </w:p>
          <w:p w14:paraId="3927060C" w14:textId="77777777" w:rsidR="006715DB" w:rsidRDefault="006715DB" w:rsidP="00066F28">
            <w:pPr>
              <w:pStyle w:val="Prrafodelista"/>
              <w:tabs>
                <w:tab w:val="left" w:pos="7513"/>
              </w:tabs>
              <w:ind w:left="0"/>
              <w:jc w:val="both"/>
              <w:rPr>
                <w:rFonts w:ascii="Arial Narrow" w:hAnsi="Arial Narrow" w:cs="Arial"/>
              </w:rPr>
            </w:pPr>
          </w:p>
          <w:p w14:paraId="41C9A07B" w14:textId="77777777" w:rsidR="006715DB" w:rsidRDefault="006715DB" w:rsidP="00066F28">
            <w:pPr>
              <w:pStyle w:val="Prrafodelista"/>
              <w:tabs>
                <w:tab w:val="left" w:pos="7513"/>
              </w:tabs>
              <w:ind w:left="0"/>
              <w:jc w:val="both"/>
              <w:rPr>
                <w:rFonts w:ascii="Arial Narrow" w:hAnsi="Arial Narrow" w:cs="Arial"/>
              </w:rPr>
            </w:pPr>
          </w:p>
          <w:p w14:paraId="7B607C93" w14:textId="77777777" w:rsidR="006715DB" w:rsidRDefault="006715DB" w:rsidP="00066F28">
            <w:pPr>
              <w:pStyle w:val="Prrafodelista"/>
              <w:tabs>
                <w:tab w:val="left" w:pos="7513"/>
              </w:tabs>
              <w:ind w:left="0"/>
              <w:jc w:val="both"/>
              <w:rPr>
                <w:rFonts w:ascii="Arial Narrow" w:hAnsi="Arial Narrow" w:cs="Arial"/>
              </w:rPr>
            </w:pPr>
          </w:p>
          <w:p w14:paraId="447D6ECB" w14:textId="6F1E6047" w:rsidR="006715DB" w:rsidRPr="001C1CF2" w:rsidRDefault="006715DB" w:rsidP="00066F28">
            <w:pPr>
              <w:pStyle w:val="Prrafodelista"/>
              <w:tabs>
                <w:tab w:val="left" w:pos="7513"/>
              </w:tabs>
              <w:ind w:left="0"/>
              <w:jc w:val="both"/>
              <w:rPr>
                <w:rFonts w:ascii="Arial Narrow" w:hAnsi="Arial Narrow" w:cs="Arial"/>
              </w:rPr>
            </w:pPr>
          </w:p>
        </w:tc>
      </w:tr>
      <w:tr w:rsidR="005805F1" w:rsidRPr="001C1CF2" w14:paraId="37172F88" w14:textId="77777777" w:rsidTr="00796BB3">
        <w:trPr>
          <w:trHeight w:val="396"/>
        </w:trPr>
        <w:tc>
          <w:tcPr>
            <w:tcW w:w="9782" w:type="dxa"/>
            <w:tcBorders>
              <w:top w:val="double" w:sz="4" w:space="0" w:color="auto"/>
              <w:left w:val="double" w:sz="4" w:space="0" w:color="auto"/>
              <w:bottom w:val="single" w:sz="4" w:space="0" w:color="auto"/>
              <w:right w:val="double" w:sz="4" w:space="0" w:color="auto"/>
            </w:tcBorders>
            <w:shd w:val="clear" w:color="auto" w:fill="BFBFBF"/>
          </w:tcPr>
          <w:p w14:paraId="5ADBA35E"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lastRenderedPageBreak/>
              <w:t>ANÁLISIS Y CONCEPTO PARA CONCILIAR</w:t>
            </w:r>
          </w:p>
        </w:tc>
      </w:tr>
      <w:tr w:rsidR="005805F1" w:rsidRPr="001C1CF2" w14:paraId="3542D9C4" w14:textId="77777777" w:rsidTr="00796BB3">
        <w:trPr>
          <w:trHeight w:val="7620"/>
        </w:trPr>
        <w:tc>
          <w:tcPr>
            <w:tcW w:w="9782" w:type="dxa"/>
            <w:tcBorders>
              <w:top w:val="single" w:sz="4" w:space="0" w:color="auto"/>
              <w:left w:val="double" w:sz="4" w:space="0" w:color="auto"/>
              <w:bottom w:val="single" w:sz="4" w:space="0" w:color="auto"/>
              <w:right w:val="double" w:sz="4" w:space="0" w:color="auto"/>
            </w:tcBorders>
          </w:tcPr>
          <w:p w14:paraId="0F873AD8" w14:textId="77777777" w:rsidR="005805F1" w:rsidRPr="001C1CF2" w:rsidRDefault="005805F1" w:rsidP="00066F28">
            <w:pPr>
              <w:tabs>
                <w:tab w:val="left" w:pos="7513"/>
              </w:tabs>
              <w:jc w:val="both"/>
              <w:rPr>
                <w:rFonts w:ascii="Arial Narrow" w:hAnsi="Arial Narrow" w:cs="Arial"/>
              </w:rPr>
            </w:pPr>
          </w:p>
          <w:p w14:paraId="5D2738DE" w14:textId="77777777" w:rsidR="006715DB" w:rsidRDefault="005805F1" w:rsidP="006715DB">
            <w:pPr>
              <w:tabs>
                <w:tab w:val="left" w:pos="7513"/>
              </w:tabs>
              <w:ind w:left="360"/>
              <w:jc w:val="both"/>
              <w:rPr>
                <w:rFonts w:ascii="Arial Narrow" w:hAnsi="Arial Narrow" w:cs="Arial"/>
              </w:rPr>
            </w:pPr>
            <w:r w:rsidRPr="001C1CF2">
              <w:rPr>
                <w:rFonts w:ascii="Arial Narrow" w:hAnsi="Arial Narrow" w:cs="Arial"/>
              </w:rPr>
              <w:t xml:space="preserve">1.Problema Jurídico </w:t>
            </w:r>
          </w:p>
          <w:p w14:paraId="79681009" w14:textId="77777777" w:rsidR="006715DB" w:rsidRDefault="006715DB" w:rsidP="006715DB">
            <w:pPr>
              <w:tabs>
                <w:tab w:val="left" w:pos="7513"/>
              </w:tabs>
              <w:jc w:val="both"/>
              <w:rPr>
                <w:rFonts w:ascii="Arial Narrow" w:hAnsi="Arial Narrow"/>
              </w:rPr>
            </w:pPr>
          </w:p>
          <w:p w14:paraId="6A15890E" w14:textId="77777777" w:rsidR="006715DB" w:rsidRDefault="006715DB" w:rsidP="006715DB">
            <w:pPr>
              <w:tabs>
                <w:tab w:val="left" w:pos="7513"/>
              </w:tabs>
              <w:jc w:val="both"/>
              <w:rPr>
                <w:rFonts w:ascii="Arial Narrow" w:eastAsia="Courier New" w:hAnsi="Arial Narrow" w:cs="Arial"/>
              </w:rPr>
            </w:pPr>
            <w:r>
              <w:rPr>
                <w:rFonts w:ascii="Arial Narrow" w:hAnsi="Arial Narrow" w:cs="Arial"/>
              </w:rPr>
              <w:t>Que se declare que existió v</w:t>
            </w:r>
            <w:r w:rsidRPr="001C1CF2">
              <w:rPr>
                <w:rFonts w:ascii="Arial Narrow" w:hAnsi="Arial Narrow" w:cs="Arial"/>
              </w:rPr>
              <w:t xml:space="preserve">iolación de </w:t>
            </w:r>
            <w:r w:rsidRPr="001C1CF2">
              <w:rPr>
                <w:rFonts w:ascii="Arial Narrow" w:eastAsiaTheme="minorHAnsi" w:hAnsi="Arial Narrow" w:cs="Calibri-Bold"/>
                <w:b/>
                <w:bCs/>
              </w:rPr>
              <w:t>derecho e intereses colectivos amenazados</w:t>
            </w:r>
            <w:r w:rsidRPr="001C1CF2">
              <w:rPr>
                <w:rFonts w:ascii="Arial Narrow" w:eastAsiaTheme="minorHAnsi" w:hAnsi="Arial Narrow" w:cs="Calibri"/>
              </w:rPr>
              <w:t>,  consagrados en el artículo 4° de la</w:t>
            </w:r>
            <w:r w:rsidRPr="001C1CF2">
              <w:rPr>
                <w:rFonts w:ascii="Arial Narrow" w:hAnsi="Arial Narrow" w:cs="Arial"/>
              </w:rPr>
              <w:t xml:space="preserve"> </w:t>
            </w:r>
            <w:r w:rsidRPr="001C1CF2">
              <w:rPr>
                <w:rFonts w:ascii="Arial Narrow" w:eastAsiaTheme="minorHAnsi" w:hAnsi="Arial Narrow" w:cs="Calibri"/>
              </w:rPr>
              <w:t>ley 472 de 1998, literal b). (la moralidad Administrativa), Literal d). (el goce del espacio</w:t>
            </w:r>
            <w:r w:rsidRPr="001C1CF2">
              <w:rPr>
                <w:rFonts w:ascii="Arial Narrow" w:hAnsi="Arial Narrow" w:cs="Arial"/>
              </w:rPr>
              <w:t xml:space="preserve"> </w:t>
            </w:r>
            <w:r w:rsidRPr="001C1CF2">
              <w:rPr>
                <w:rFonts w:ascii="Arial Narrow" w:eastAsiaTheme="minorHAnsi" w:hAnsi="Arial Narrow" w:cs="Calibri"/>
              </w:rPr>
              <w:t>público y la utilización y defensa de los bienes de uso público), literal e). (la defensa del patrimonio público).</w:t>
            </w:r>
            <w:r>
              <w:rPr>
                <w:rFonts w:ascii="Arial Narrow" w:eastAsia="Courier New" w:hAnsi="Arial Narrow" w:cs="Arial"/>
              </w:rPr>
              <w:t xml:space="preserve"> </w:t>
            </w:r>
            <w:r w:rsidRPr="001C1CF2">
              <w:rPr>
                <w:rFonts w:ascii="Arial Narrow" w:hAnsi="Arial Narrow" w:cs="Arial"/>
              </w:rPr>
              <w:t xml:space="preserve">El actor popular sostiene cementos argos está </w:t>
            </w:r>
            <w:r w:rsidRPr="001C1CF2">
              <w:rPr>
                <w:rFonts w:ascii="Arial Narrow" w:eastAsiaTheme="minorHAnsi" w:hAnsi="Arial Narrow" w:cs="Calibri"/>
              </w:rPr>
              <w:t>ocupando y</w:t>
            </w:r>
            <w:r w:rsidRPr="001C1CF2">
              <w:rPr>
                <w:rFonts w:ascii="Arial Narrow" w:hAnsi="Arial Narrow" w:cs="Arial"/>
              </w:rPr>
              <w:t xml:space="preserve"> </w:t>
            </w:r>
            <w:r w:rsidRPr="001C1CF2">
              <w:rPr>
                <w:rFonts w:ascii="Arial Narrow" w:eastAsiaTheme="minorHAnsi" w:hAnsi="Arial Narrow" w:cs="Calibri"/>
              </w:rPr>
              <w:t>poseyendo en su beneficio ilegalmente tres (3) predios rurales colindantes entre sí de</w:t>
            </w:r>
            <w:r w:rsidRPr="001C1CF2">
              <w:rPr>
                <w:rFonts w:ascii="Arial Narrow" w:hAnsi="Arial Narrow" w:cs="Arial"/>
              </w:rPr>
              <w:t xml:space="preserve"> </w:t>
            </w:r>
            <w:r w:rsidRPr="001C1CF2">
              <w:rPr>
                <w:rFonts w:ascii="Arial Narrow" w:eastAsiaTheme="minorHAnsi" w:hAnsi="Arial Narrow" w:cs="Calibri"/>
              </w:rPr>
              <w:t>400 hectáreas de propiedad de la Nación por extinción de dominio que a ella se le hizo mediante resolución 5937 de 14/09/1964 del INCORA</w:t>
            </w:r>
            <w:r>
              <w:rPr>
                <w:rFonts w:ascii="Arial Narrow" w:eastAsiaTheme="minorHAnsi" w:hAnsi="Arial Narrow" w:cs="Calibri"/>
              </w:rPr>
              <w:t>.</w:t>
            </w:r>
          </w:p>
          <w:p w14:paraId="122FD2E6" w14:textId="77777777" w:rsidR="006715DB" w:rsidRDefault="006715DB" w:rsidP="006715DB">
            <w:pPr>
              <w:tabs>
                <w:tab w:val="left" w:pos="7513"/>
              </w:tabs>
              <w:jc w:val="both"/>
              <w:rPr>
                <w:rFonts w:ascii="Arial Narrow" w:eastAsia="Courier New" w:hAnsi="Arial Narrow" w:cs="Arial"/>
              </w:rPr>
            </w:pPr>
          </w:p>
          <w:p w14:paraId="25DDD9A7" w14:textId="5737C93B" w:rsidR="006715DB" w:rsidRPr="006715DB" w:rsidRDefault="006715DB" w:rsidP="006715DB">
            <w:pPr>
              <w:tabs>
                <w:tab w:val="left" w:pos="7513"/>
              </w:tabs>
              <w:jc w:val="both"/>
              <w:rPr>
                <w:rFonts w:ascii="Arial Narrow" w:eastAsia="Courier New" w:hAnsi="Arial Narrow" w:cs="Arial"/>
              </w:rPr>
            </w:pPr>
            <w:r>
              <w:rPr>
                <w:rFonts w:ascii="Arial Narrow" w:eastAsiaTheme="minorHAnsi" w:hAnsi="Arial Narrow" w:cs="Calibri"/>
              </w:rPr>
              <w:t xml:space="preserve">En consecuencia el demandante solicita que se ordende </w:t>
            </w:r>
            <w:r w:rsidRPr="006F40D7">
              <w:rPr>
                <w:rFonts w:ascii="Arial Narrow" w:eastAsiaTheme="minorHAnsi" w:hAnsi="Arial Narrow" w:cs="Calibri"/>
              </w:rPr>
              <w:t>la restitución inmediata a la Nación de los tres predios inenajebles, inembargables e imprescriptibles que se identificaron con matrícula inmobiliaria 019-394, 019-398 y 019-399, que por ella fueron ( i ) i l í ci tamente adquiridos, mediante escritura pública 3088 de 30/07/1972 de la Notaría Quinta de Medellin, (ii) posteriormente ilegalmente englobados e irregularmente registrados en un único predio en pleno dominio, mediante escritura pública 933 del 09/05/1980 de la Notaría Segunda de Medellin, generando la matrícula inmobiliaria 019-895 de la ORIP Puerto Berrio.</w:t>
            </w:r>
          </w:p>
          <w:p w14:paraId="58ECA4A3" w14:textId="77777777" w:rsidR="005805F1" w:rsidRPr="001C1CF2" w:rsidRDefault="005805F1" w:rsidP="00066F28">
            <w:pPr>
              <w:tabs>
                <w:tab w:val="left" w:pos="7513"/>
              </w:tabs>
              <w:jc w:val="both"/>
              <w:rPr>
                <w:rFonts w:ascii="Arial Narrow" w:hAnsi="Arial Narrow" w:cs="Arial"/>
              </w:rPr>
            </w:pPr>
          </w:p>
          <w:p w14:paraId="0974D883" w14:textId="77777777" w:rsidR="005805F1" w:rsidRPr="001C1CF2" w:rsidRDefault="005805F1" w:rsidP="00066F28">
            <w:pPr>
              <w:tabs>
                <w:tab w:val="left" w:pos="7513"/>
              </w:tabs>
              <w:ind w:left="360"/>
              <w:jc w:val="both"/>
              <w:rPr>
                <w:rFonts w:ascii="Arial Narrow" w:hAnsi="Arial Narrow" w:cs="Arial"/>
              </w:rPr>
            </w:pPr>
            <w:r w:rsidRPr="001C1CF2">
              <w:rPr>
                <w:rFonts w:ascii="Arial Narrow" w:hAnsi="Arial Narrow" w:cs="Arial"/>
              </w:rPr>
              <w:t xml:space="preserve">2. Análisis de la caducidad </w:t>
            </w:r>
          </w:p>
          <w:p w14:paraId="62A2BE27" w14:textId="77777777" w:rsidR="005805F1" w:rsidRPr="001C1CF2" w:rsidRDefault="005805F1" w:rsidP="00066F28">
            <w:pPr>
              <w:tabs>
                <w:tab w:val="left" w:pos="7513"/>
              </w:tabs>
              <w:ind w:left="360"/>
              <w:jc w:val="both"/>
              <w:rPr>
                <w:rFonts w:ascii="Arial Narrow" w:hAnsi="Arial Narrow" w:cs="Arial"/>
              </w:rPr>
            </w:pPr>
          </w:p>
          <w:p w14:paraId="14FFCBFC" w14:textId="053D1696" w:rsidR="005805F1" w:rsidRDefault="006715DB" w:rsidP="00066F28">
            <w:pPr>
              <w:ind w:right="130"/>
              <w:jc w:val="both"/>
              <w:rPr>
                <w:rFonts w:ascii="Arial Narrow" w:hAnsi="Arial Narrow"/>
              </w:rPr>
            </w:pPr>
            <w:r>
              <w:rPr>
                <w:rFonts w:ascii="Arial Narrow" w:hAnsi="Arial Narrow"/>
              </w:rPr>
              <w:t>No porque la acción popular no caduca.</w:t>
            </w:r>
          </w:p>
          <w:p w14:paraId="4FD8BAE5" w14:textId="77777777" w:rsidR="006715DB" w:rsidRPr="001C1CF2" w:rsidRDefault="006715DB" w:rsidP="00066F28">
            <w:pPr>
              <w:ind w:right="130"/>
              <w:jc w:val="both"/>
              <w:rPr>
                <w:rFonts w:ascii="Arial Narrow" w:hAnsi="Arial Narrow" w:cs="Arial"/>
              </w:rPr>
            </w:pPr>
          </w:p>
          <w:p w14:paraId="43582626" w14:textId="73676C80" w:rsidR="005805F1" w:rsidRPr="006715DB" w:rsidRDefault="005805F1" w:rsidP="006715DB">
            <w:pPr>
              <w:pStyle w:val="Prrafodelista"/>
              <w:numPr>
                <w:ilvl w:val="0"/>
                <w:numId w:val="4"/>
              </w:numPr>
              <w:tabs>
                <w:tab w:val="left" w:pos="7513"/>
              </w:tabs>
              <w:jc w:val="both"/>
              <w:rPr>
                <w:rFonts w:ascii="Arial Narrow" w:hAnsi="Arial Narrow" w:cs="Arial"/>
              </w:rPr>
            </w:pPr>
            <w:r w:rsidRPr="006715DB">
              <w:rPr>
                <w:rFonts w:ascii="Arial Narrow" w:hAnsi="Arial Narrow" w:cs="Arial"/>
              </w:rPr>
              <w:t xml:space="preserve">Objeto conciliable </w:t>
            </w:r>
          </w:p>
          <w:p w14:paraId="52CF3D17" w14:textId="77777777" w:rsidR="006715DB" w:rsidRDefault="006715DB" w:rsidP="006715DB">
            <w:pPr>
              <w:tabs>
                <w:tab w:val="left" w:pos="7513"/>
              </w:tabs>
              <w:jc w:val="both"/>
              <w:rPr>
                <w:rFonts w:ascii="Arial Narrow" w:hAnsi="Arial Narrow" w:cs="Arial"/>
              </w:rPr>
            </w:pPr>
          </w:p>
          <w:p w14:paraId="75A5A1F2" w14:textId="6E42B5CD" w:rsidR="006715DB" w:rsidRPr="006715DB" w:rsidRDefault="006715DB" w:rsidP="006715DB">
            <w:pPr>
              <w:tabs>
                <w:tab w:val="left" w:pos="7513"/>
              </w:tabs>
              <w:jc w:val="both"/>
              <w:rPr>
                <w:rFonts w:ascii="Arial Narrow" w:hAnsi="Arial Narrow" w:cs="Arial"/>
              </w:rPr>
            </w:pPr>
            <w:r w:rsidRPr="006F40D7">
              <w:rPr>
                <w:rFonts w:ascii="Arial Narrow" w:eastAsiaTheme="minorHAnsi" w:hAnsi="Arial Narrow" w:cs="Calibri"/>
              </w:rPr>
              <w:t>la restitución inmediata a la Nación de los tres predios inenajebles, inembargables e imprescriptibles que se identificaron con matrícula inmobiliaria 019-394, 019-398 y 019-399, que por ella fueron ( i ) i l í ci tamente adquiridos, mediante escritura pública 3088 de 30/07/1972 de la Notaría Quinta de Medellin, (ii) posteriormente ilegalmente englobados e irregularmente registrados en un único predio en pleno dominio, mediante escritura pública 933 del 09/05/1980 de la Notaría Segunda de Medellin, generando la matrícula inmobiliaria 019-895 de la ORIP Puerto Berrio.</w:t>
            </w:r>
          </w:p>
          <w:p w14:paraId="7D0A802A" w14:textId="77777777" w:rsidR="005805F1" w:rsidRPr="001C1CF2" w:rsidRDefault="005805F1" w:rsidP="00066F28">
            <w:pPr>
              <w:contextualSpacing/>
              <w:jc w:val="both"/>
              <w:rPr>
                <w:rFonts w:ascii="Arial Narrow" w:hAnsi="Arial Narrow"/>
              </w:rPr>
            </w:pPr>
          </w:p>
          <w:p w14:paraId="16E3D31B" w14:textId="77777777" w:rsidR="005805F1" w:rsidRPr="001C1CF2" w:rsidRDefault="005805F1" w:rsidP="00066F28">
            <w:pPr>
              <w:tabs>
                <w:tab w:val="left" w:pos="7513"/>
              </w:tabs>
              <w:ind w:left="360"/>
              <w:jc w:val="both"/>
              <w:rPr>
                <w:rFonts w:ascii="Arial Narrow" w:hAnsi="Arial Narrow" w:cs="Arial"/>
              </w:rPr>
            </w:pPr>
            <w:r w:rsidRPr="001C1CF2">
              <w:rPr>
                <w:rFonts w:ascii="Arial Narrow" w:hAnsi="Arial Narrow" w:cs="Arial"/>
              </w:rPr>
              <w:t xml:space="preserve">4. Jurisprudencia o precedente judicial: </w:t>
            </w:r>
          </w:p>
          <w:p w14:paraId="3D26726C"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Sí</w:t>
            </w:r>
          </w:p>
          <w:p w14:paraId="07007B3F" w14:textId="77777777" w:rsidR="005805F1" w:rsidRPr="001C1CF2" w:rsidRDefault="005805F1" w:rsidP="00066F28">
            <w:pPr>
              <w:tabs>
                <w:tab w:val="left" w:pos="7513"/>
              </w:tabs>
              <w:jc w:val="both"/>
              <w:rPr>
                <w:rFonts w:ascii="Arial Narrow" w:hAnsi="Arial Narrow" w:cs="Arial"/>
              </w:rPr>
            </w:pPr>
          </w:p>
          <w:p w14:paraId="3884C37A" w14:textId="77777777" w:rsidR="005805F1" w:rsidRPr="001C1CF2" w:rsidRDefault="005805F1" w:rsidP="00066F28">
            <w:pPr>
              <w:tabs>
                <w:tab w:val="left" w:pos="7513"/>
              </w:tabs>
              <w:ind w:left="360"/>
              <w:jc w:val="both"/>
              <w:rPr>
                <w:rFonts w:ascii="Arial Narrow" w:hAnsi="Arial Narrow" w:cs="Arial"/>
              </w:rPr>
            </w:pPr>
            <w:r w:rsidRPr="001C1CF2">
              <w:rPr>
                <w:rFonts w:ascii="Arial Narrow" w:hAnsi="Arial Narrow" w:cs="Arial"/>
              </w:rPr>
              <w:t xml:space="preserve">5. Doctrina: </w:t>
            </w:r>
          </w:p>
          <w:p w14:paraId="584C03DF"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Sí.</w:t>
            </w:r>
          </w:p>
          <w:p w14:paraId="773D7912" w14:textId="77777777" w:rsidR="005805F1" w:rsidRPr="001C1CF2" w:rsidRDefault="005805F1" w:rsidP="00066F28">
            <w:pPr>
              <w:tabs>
                <w:tab w:val="left" w:pos="7513"/>
              </w:tabs>
              <w:jc w:val="both"/>
              <w:rPr>
                <w:rFonts w:ascii="Arial Narrow" w:hAnsi="Arial Narrow" w:cs="Arial"/>
              </w:rPr>
            </w:pPr>
          </w:p>
          <w:p w14:paraId="0C5A996F" w14:textId="77777777" w:rsidR="005805F1" w:rsidRPr="001C1CF2" w:rsidRDefault="005805F1" w:rsidP="00066F28">
            <w:pPr>
              <w:tabs>
                <w:tab w:val="left" w:pos="7513"/>
              </w:tabs>
              <w:ind w:left="360"/>
              <w:jc w:val="both"/>
              <w:rPr>
                <w:rFonts w:ascii="Arial Narrow" w:hAnsi="Arial Narrow" w:cs="Arial"/>
              </w:rPr>
            </w:pPr>
            <w:r w:rsidRPr="001C1CF2">
              <w:rPr>
                <w:rFonts w:ascii="Arial Narrow" w:hAnsi="Arial Narrow" w:cs="Arial"/>
              </w:rPr>
              <w:t xml:space="preserve">6. Decisiones que tomó el comité en casos similares: </w:t>
            </w:r>
          </w:p>
          <w:p w14:paraId="0ABCEE66"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Sí.</w:t>
            </w:r>
          </w:p>
          <w:p w14:paraId="0D1285F1" w14:textId="77777777" w:rsidR="005805F1" w:rsidRPr="001C1CF2" w:rsidRDefault="005805F1" w:rsidP="00066F28">
            <w:pPr>
              <w:tabs>
                <w:tab w:val="left" w:pos="7513"/>
              </w:tabs>
              <w:ind w:left="360"/>
              <w:jc w:val="both"/>
              <w:rPr>
                <w:rFonts w:ascii="Arial Narrow" w:hAnsi="Arial Narrow" w:cs="Arial"/>
              </w:rPr>
            </w:pPr>
          </w:p>
          <w:p w14:paraId="1AA91B96" w14:textId="77777777" w:rsidR="005805F1" w:rsidRPr="001C1CF2" w:rsidRDefault="005805F1" w:rsidP="00066F28">
            <w:pPr>
              <w:tabs>
                <w:tab w:val="left" w:pos="7513"/>
              </w:tabs>
              <w:ind w:left="360"/>
              <w:jc w:val="both"/>
              <w:rPr>
                <w:rFonts w:ascii="Arial Narrow" w:hAnsi="Arial Narrow" w:cs="Arial"/>
              </w:rPr>
            </w:pPr>
            <w:r w:rsidRPr="001C1CF2">
              <w:rPr>
                <w:rFonts w:ascii="Arial Narrow" w:hAnsi="Arial Narrow" w:cs="Arial"/>
              </w:rPr>
              <w:t xml:space="preserve">7. Aplica política, llamamientos, protocolos o instructivos institucionales o nacionales: </w:t>
            </w:r>
          </w:p>
          <w:p w14:paraId="64940356"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lastRenderedPageBreak/>
              <w:t>No.</w:t>
            </w:r>
          </w:p>
          <w:p w14:paraId="1D50DCC6" w14:textId="77777777" w:rsidR="005805F1" w:rsidRPr="001C1CF2" w:rsidRDefault="005805F1" w:rsidP="00066F28">
            <w:pPr>
              <w:jc w:val="both"/>
              <w:rPr>
                <w:rFonts w:ascii="Arial Narrow" w:hAnsi="Arial Narrow" w:cs="Arial"/>
              </w:rPr>
            </w:pPr>
          </w:p>
          <w:p w14:paraId="42326C4D" w14:textId="77777777" w:rsidR="005805F1" w:rsidRPr="001C1CF2" w:rsidRDefault="005805F1" w:rsidP="00066F28">
            <w:pPr>
              <w:ind w:left="356"/>
              <w:jc w:val="both"/>
              <w:rPr>
                <w:rFonts w:ascii="Arial Narrow" w:hAnsi="Arial Narrow" w:cs="Arial"/>
              </w:rPr>
            </w:pPr>
            <w:r w:rsidRPr="001C1CF2">
              <w:rPr>
                <w:rFonts w:ascii="Arial Narrow" w:hAnsi="Arial Narrow" w:cs="Arial"/>
              </w:rPr>
              <w:t xml:space="preserve">8. Evaluación del riesgo: </w:t>
            </w:r>
          </w:p>
          <w:p w14:paraId="23718DAE" w14:textId="77777777" w:rsidR="005805F1" w:rsidRPr="001C1CF2" w:rsidRDefault="005805F1" w:rsidP="00066F28">
            <w:pPr>
              <w:jc w:val="both"/>
              <w:rPr>
                <w:rFonts w:ascii="Arial Narrow" w:hAnsi="Arial Narrow" w:cs="Arial"/>
              </w:rPr>
            </w:pPr>
          </w:p>
          <w:p w14:paraId="56551F88" w14:textId="378597BF" w:rsidR="005805F1" w:rsidRPr="001C1CF2" w:rsidRDefault="005805F1" w:rsidP="00066F28">
            <w:pPr>
              <w:contextualSpacing/>
              <w:jc w:val="both"/>
              <w:rPr>
                <w:rFonts w:ascii="Arial Narrow" w:hAnsi="Arial Narrow"/>
              </w:rPr>
            </w:pPr>
            <w:r w:rsidRPr="001C1CF2">
              <w:rPr>
                <w:rFonts w:ascii="Arial Narrow" w:hAnsi="Arial Narrow" w:cs="Arial"/>
              </w:rPr>
              <w:t xml:space="preserve">Bajo porque </w:t>
            </w:r>
            <w:r w:rsidR="006715DB">
              <w:rPr>
                <w:rFonts w:ascii="Arial Narrow" w:hAnsi="Arial Narrow" w:cs="Arial"/>
              </w:rPr>
              <w:t>según las defensas alegadas la Superintendencia de Notariado y Registro no es la causante de los presuntos hechos lesivos de derechos e intereses colectivos alegados por el demandante.</w:t>
            </w:r>
          </w:p>
          <w:p w14:paraId="1AA77DA6" w14:textId="77777777" w:rsidR="005805F1" w:rsidRPr="001C1CF2" w:rsidRDefault="005805F1" w:rsidP="00066F28">
            <w:pPr>
              <w:contextualSpacing/>
              <w:jc w:val="both"/>
              <w:rPr>
                <w:rFonts w:ascii="Arial Narrow" w:hAnsi="Arial Narrow"/>
              </w:rPr>
            </w:pPr>
          </w:p>
          <w:p w14:paraId="268C0998" w14:textId="77777777" w:rsidR="005805F1" w:rsidRPr="001C1CF2" w:rsidRDefault="005805F1" w:rsidP="00066F28">
            <w:pPr>
              <w:contextualSpacing/>
              <w:jc w:val="both"/>
              <w:rPr>
                <w:rFonts w:ascii="Arial Narrow" w:hAnsi="Arial Narrow"/>
              </w:rPr>
            </w:pPr>
            <w:r w:rsidRPr="001C1CF2">
              <w:rPr>
                <w:rFonts w:ascii="Arial Narrow" w:hAnsi="Arial Narrow"/>
              </w:rPr>
              <w:t xml:space="preserve">ARGUMENTOS DE DEFENSA: </w:t>
            </w:r>
          </w:p>
          <w:p w14:paraId="6558E036" w14:textId="77777777" w:rsidR="005805F1" w:rsidRDefault="005805F1" w:rsidP="00066F28">
            <w:pPr>
              <w:ind w:right="130"/>
              <w:jc w:val="both"/>
              <w:rPr>
                <w:rFonts w:ascii="Arial Narrow" w:hAnsi="Arial Narrow" w:cs="Arial"/>
              </w:rPr>
            </w:pPr>
          </w:p>
          <w:p w14:paraId="13C25EF4" w14:textId="77777777" w:rsidR="002E3542" w:rsidRDefault="002E3542" w:rsidP="002E3542">
            <w:pPr>
              <w:jc w:val="both"/>
              <w:rPr>
                <w:rFonts w:ascii="Arial Narrow" w:hAnsi="Arial Narrow" w:cs="Arial"/>
                <w:lang w:val="es-ES"/>
              </w:rPr>
            </w:pPr>
          </w:p>
          <w:p w14:paraId="22C18458" w14:textId="77777777" w:rsidR="002E3542" w:rsidRPr="00657E61" w:rsidRDefault="002E3542" w:rsidP="002E3542">
            <w:pPr>
              <w:jc w:val="both"/>
              <w:rPr>
                <w:rFonts w:ascii="Arial Narrow" w:hAnsi="Arial Narrow" w:cs="Arial"/>
                <w:lang w:val="es-ES"/>
              </w:rPr>
            </w:pPr>
          </w:p>
          <w:p w14:paraId="74FEE54E" w14:textId="77777777" w:rsidR="002E3542" w:rsidRPr="00D674E7" w:rsidRDefault="002E3542" w:rsidP="002E3542">
            <w:pPr>
              <w:pStyle w:val="Prrafodelista"/>
              <w:numPr>
                <w:ilvl w:val="0"/>
                <w:numId w:val="12"/>
              </w:numPr>
              <w:jc w:val="both"/>
              <w:rPr>
                <w:rFonts w:ascii="Arial Narrow" w:hAnsi="Arial Narrow" w:cs="Arial"/>
                <w:lang w:val="es-ES"/>
              </w:rPr>
            </w:pPr>
            <w:r>
              <w:rPr>
                <w:rFonts w:ascii="Arial Narrow" w:hAnsi="Arial Narrow" w:cs="Arial"/>
                <w:lang w:val="es-ES"/>
              </w:rPr>
              <w:t>CUMPLIMIENTO DE UN DEBER LEGAL.</w:t>
            </w:r>
          </w:p>
          <w:p w14:paraId="71AFCA28" w14:textId="77777777" w:rsidR="002E3542" w:rsidRDefault="002E3542" w:rsidP="002E3542">
            <w:pPr>
              <w:jc w:val="both"/>
              <w:rPr>
                <w:rFonts w:ascii="Arial Narrow" w:hAnsi="Arial Narrow" w:cs="Arial"/>
                <w:lang w:val="es-ES"/>
              </w:rPr>
            </w:pPr>
          </w:p>
          <w:p w14:paraId="7FEB653A" w14:textId="77777777" w:rsidR="002E3542" w:rsidRPr="00D674E7" w:rsidRDefault="002E3542" w:rsidP="002E3542">
            <w:pPr>
              <w:shd w:val="clear" w:color="auto" w:fill="FFFFFF"/>
              <w:ind w:right="49"/>
              <w:jc w:val="both"/>
              <w:rPr>
                <w:rFonts w:ascii="Arial Narrow" w:hAnsi="Arial Narrow" w:cs="Arial"/>
              </w:rPr>
            </w:pPr>
            <w:r w:rsidRPr="00D674E7">
              <w:rPr>
                <w:rFonts w:ascii="Arial Narrow" w:hAnsi="Arial Narrow" w:cs="Arial"/>
              </w:rPr>
              <w:t>LA FUNCIÓN DE REGISTRO DE INSTRUMENTOS PÚBLICOS: MARCO NORMATIVO Y JURISPRUDENCIAL</w:t>
            </w:r>
          </w:p>
          <w:p w14:paraId="0497564A" w14:textId="77777777" w:rsidR="002E3542" w:rsidRPr="00725FBC" w:rsidRDefault="002E3542" w:rsidP="002E3542">
            <w:pPr>
              <w:pStyle w:val="Prrafodelista"/>
              <w:shd w:val="clear" w:color="auto" w:fill="FFFFFF"/>
              <w:ind w:left="851" w:right="49"/>
              <w:jc w:val="both"/>
              <w:rPr>
                <w:rFonts w:ascii="Arial Narrow" w:hAnsi="Arial Narrow" w:cs="Arial"/>
              </w:rPr>
            </w:pPr>
          </w:p>
          <w:p w14:paraId="3CD5FDDE" w14:textId="77777777" w:rsidR="002E3542" w:rsidRPr="00725FBC" w:rsidRDefault="002E3542" w:rsidP="002E3542">
            <w:pPr>
              <w:jc w:val="both"/>
              <w:rPr>
                <w:rFonts w:ascii="Arial Narrow" w:hAnsi="Arial Narrow" w:cs="Arial"/>
              </w:rPr>
            </w:pPr>
            <w:r w:rsidRPr="00725FBC">
              <w:rPr>
                <w:rFonts w:ascii="Arial Narrow" w:hAnsi="Arial Narrow" w:cs="Arial"/>
              </w:rPr>
              <w:t>La función Registral como servicio público, se inspira en tres objetivos básicos, consagrados originalmente en el titulo 43 del Código Civil: 1.- Servir de medio de tradición del dominio de los bienes raíces y de los otros derechos reales constituidos sobre ellos, 2.- Dar publicidad a los actos que trasladen o mutan el dominio de los mismos o les imponen gravámenes o limitaciones; 3.- Brindar mayores garantías de autenticidad y seguridad  a los títulos , actos o documentos que deban registrarse.</w:t>
            </w:r>
          </w:p>
          <w:p w14:paraId="78791532" w14:textId="77777777" w:rsidR="002E3542" w:rsidRPr="00725FBC" w:rsidRDefault="002E3542" w:rsidP="002E3542">
            <w:pPr>
              <w:jc w:val="both"/>
              <w:rPr>
                <w:rFonts w:ascii="Arial Narrow" w:hAnsi="Arial Narrow" w:cs="Arial"/>
              </w:rPr>
            </w:pPr>
          </w:p>
          <w:p w14:paraId="582F206A"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La etapa de radicación tiene por finalidad conocer la fecha y hora de recibo, número de orden sucesivo anual, naturaleza del título, fecha y lugar de origen, e incide en la posterior etapa de calificación, habida cuenta que esta se realiza siguiendo con todo rigor el análisis jurídico, examen y comprobación que el documento reúne las exigencias de ley para acceder al registro, realizada pasa a la sección jurídica de la oficina para su inscripción, la cual se refiere a la anotación siguiendo el orden de radicación, con indicación de la naturaleza jurídica del acto a inscribir; distinguida con el número que al título le haya correspondido en el orden del Radicador y la indicación del año con sus dos cifras terminales; posteriormente se anotará la fecha de la inscripción, la naturaleza del título, escritura, su fecha, oficina de origen, y partes interesadas; todo en forma breve y clara, y en caracteres de fácil lectura y perdurables, en un formato especial con expresión de la fecha de inscripción, el número de radicación, la matrícula inmobiliaria y la especificación jurídica de los actos inscritos con que se devolverá al interesado, como en el destinado al archivo de la Oficina de Registro, a título de constancia de haberse ejecutado. </w:t>
            </w:r>
            <w:r w:rsidRPr="00725FBC">
              <w:rPr>
                <w:rFonts w:ascii="Arial Narrow" w:hAnsi="Arial Narrow" w:cs="Arial"/>
              </w:rPr>
              <w:footnoteReference w:id="1"/>
            </w:r>
          </w:p>
          <w:p w14:paraId="22FB6916" w14:textId="77777777" w:rsidR="002E3542" w:rsidRPr="00725FBC" w:rsidRDefault="002E3542" w:rsidP="002E3542">
            <w:pPr>
              <w:jc w:val="both"/>
              <w:rPr>
                <w:rFonts w:ascii="Arial Narrow" w:hAnsi="Arial Narrow" w:cs="Arial"/>
              </w:rPr>
            </w:pPr>
          </w:p>
          <w:p w14:paraId="21FB3E05"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Con fundamento en lo anterior, se concluye que la etapa de calificación se refiere al estudio y verificación del documento, es decir, que el mismo cumpla con los requisitos exigidos por la ley, desde el punto de vista tanto formal como sustancial, o en otras palabras, que cumpla con el lleno de los requisitos del título cuya inscripción </w:t>
            </w:r>
            <w:r w:rsidRPr="00725FBC">
              <w:rPr>
                <w:rFonts w:ascii="Arial Narrow" w:hAnsi="Arial Narrow" w:cs="Arial"/>
              </w:rPr>
              <w:lastRenderedPageBreak/>
              <w:t xml:space="preserve">se pretende, por lo cual, únicamente podrá ser objeto de la inscripción, aquel título que reúna los requisitos exigidos por la ley, y en consecuencia procede a la etapa de inscripción. </w:t>
            </w:r>
          </w:p>
          <w:p w14:paraId="3E87152A" w14:textId="77777777" w:rsidR="002E3542" w:rsidRPr="00725FBC" w:rsidRDefault="002E3542" w:rsidP="002E3542">
            <w:pPr>
              <w:jc w:val="both"/>
              <w:rPr>
                <w:rFonts w:ascii="Arial Narrow" w:hAnsi="Arial Narrow" w:cs="Arial"/>
              </w:rPr>
            </w:pPr>
          </w:p>
          <w:p w14:paraId="5F43D3CF" w14:textId="77777777" w:rsidR="002E3542" w:rsidRPr="00725FBC" w:rsidRDefault="002E3542" w:rsidP="002E3542">
            <w:pPr>
              <w:jc w:val="both"/>
              <w:rPr>
                <w:rFonts w:ascii="Arial Narrow" w:hAnsi="Arial Narrow" w:cs="Arial"/>
              </w:rPr>
            </w:pPr>
            <w:r w:rsidRPr="00725FBC">
              <w:rPr>
                <w:rFonts w:ascii="Arial Narrow" w:hAnsi="Arial Narrow" w:cs="Arial"/>
              </w:rPr>
              <w:t>Por otro lado, el Honorable Consejo de Estado y la doctrina, han señalado en reiterada jurisprudencia, así mismo, la importancia de una adecuada ejecución de la función registral, en particular se ha señalado:</w:t>
            </w:r>
          </w:p>
          <w:p w14:paraId="48218716" w14:textId="77777777" w:rsidR="002E3542" w:rsidRPr="00725FBC" w:rsidRDefault="002E3542" w:rsidP="002E3542">
            <w:pPr>
              <w:jc w:val="both"/>
              <w:rPr>
                <w:rFonts w:ascii="Arial Narrow" w:hAnsi="Arial Narrow" w:cs="Arial"/>
              </w:rPr>
            </w:pPr>
          </w:p>
          <w:p w14:paraId="49483D7E" w14:textId="77777777" w:rsidR="002E3542" w:rsidRPr="00725FBC" w:rsidRDefault="002E3542" w:rsidP="002E3542">
            <w:pPr>
              <w:tabs>
                <w:tab w:val="left" w:pos="1134"/>
              </w:tabs>
              <w:ind w:left="284" w:right="333"/>
              <w:jc w:val="both"/>
              <w:rPr>
                <w:rFonts w:ascii="Arial Narrow" w:hAnsi="Arial Narrow" w:cs="Arial"/>
                <w:lang w:val="es-ES_tradnl"/>
              </w:rPr>
            </w:pPr>
            <w:r w:rsidRPr="00725FBC">
              <w:rPr>
                <w:rFonts w:ascii="Arial Narrow" w:hAnsi="Arial Narrow" w:cs="Arial"/>
              </w:rPr>
              <w:t>“</w:t>
            </w:r>
            <w:r w:rsidRPr="00725FBC">
              <w:rPr>
                <w:rFonts w:ascii="Arial Narrow" w:hAnsi="Arial Narrow" w:cs="Arial"/>
                <w:lang w:val="es-MX"/>
              </w:rPr>
              <w:t>De conformidad con lo anterior, se ha señalado que uno de los fines más importantes del servicio público registral es que sirve justamente de publicidad</w:t>
            </w:r>
            <w:r w:rsidRPr="00725FBC">
              <w:rPr>
                <w:rFonts w:ascii="Arial Narrow" w:hAnsi="Arial Narrow" w:cs="Arial"/>
                <w:lang w:val="es-MX"/>
              </w:rPr>
              <w:footnoteReference w:id="2"/>
            </w:r>
            <w:r w:rsidRPr="00725FBC">
              <w:rPr>
                <w:rFonts w:ascii="Arial Narrow" w:hAnsi="Arial Narrow" w:cs="Arial"/>
                <w:lang w:val="es-MX"/>
              </w:rPr>
              <w:t xml:space="preserve">, en tanto da a conocer a terceros quién es el propietario del bien y, en consecuencia, quién puede disponer de él, así como la real situación jurídica del mismo, lo </w:t>
            </w:r>
            <w:r w:rsidRPr="00725FBC">
              <w:rPr>
                <w:rFonts w:ascii="Arial Narrow" w:hAnsi="Arial Narrow" w:cs="Arial"/>
              </w:rPr>
              <w:t>cual</w:t>
            </w:r>
            <w:r w:rsidRPr="00725FBC">
              <w:rPr>
                <w:rFonts w:ascii="Arial Narrow" w:hAnsi="Arial Narrow" w:cs="Arial"/>
                <w:lang w:val="es-MX"/>
              </w:rPr>
              <w:t>, otorga a los usuarios de dicho servicio seguridad jurídica respecto de sus actuaciones sobre bienes inmuebles, cuando éstas se fundamentan en los registros que lleva la respectiva Oficina de Registro de Instrumentos Públicos, de ahí que las inscripciones deben adelantarse en forma cuidadosa respetando el antiguo principio de los derechos reales de conformidad con el cual el primero en el tiempo ha de prevalecer en el derecho -prius in tempore, potior iure-.</w:t>
            </w:r>
          </w:p>
          <w:p w14:paraId="736BF731" w14:textId="77777777" w:rsidR="002E3542" w:rsidRPr="00725FBC" w:rsidRDefault="002E3542" w:rsidP="002E3542">
            <w:pPr>
              <w:tabs>
                <w:tab w:val="left" w:pos="1134"/>
              </w:tabs>
              <w:ind w:left="284" w:right="333"/>
              <w:jc w:val="both"/>
              <w:rPr>
                <w:rFonts w:ascii="Arial Narrow" w:hAnsi="Arial Narrow" w:cs="Arial"/>
                <w:lang w:val="es-ES_tradnl"/>
              </w:rPr>
            </w:pPr>
          </w:p>
          <w:p w14:paraId="0FF70CA3" w14:textId="77777777" w:rsidR="002E3542" w:rsidRPr="00725FBC" w:rsidRDefault="002E3542" w:rsidP="002E3542">
            <w:pPr>
              <w:tabs>
                <w:tab w:val="left" w:pos="1134"/>
              </w:tabs>
              <w:ind w:left="284" w:right="333"/>
              <w:jc w:val="both"/>
              <w:rPr>
                <w:rFonts w:ascii="Arial Narrow" w:hAnsi="Arial Narrow" w:cs="Arial"/>
                <w:lang w:val="es-ES_tradnl"/>
              </w:rPr>
            </w:pPr>
            <w:r w:rsidRPr="00725FBC">
              <w:rPr>
                <w:rFonts w:ascii="Arial Narrow" w:hAnsi="Arial Narrow" w:cs="Arial"/>
                <w:lang w:val="es-ES_tradnl"/>
              </w:rPr>
              <w:t>(...)</w:t>
            </w:r>
          </w:p>
          <w:p w14:paraId="13AC8A2E"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 xml:space="preserve">““Sin embargo, es importante precisar –como lo ha hecho la Sala reiteradamente- que el actor debe acreditar la diligencia, previsión y cuidado que ha </w:t>
            </w:r>
            <w:r w:rsidRPr="00725FBC">
              <w:rPr>
                <w:rFonts w:ascii="Arial Narrow" w:hAnsi="Arial Narrow" w:cs="Arial"/>
              </w:rPr>
              <w:t>debido</w:t>
            </w:r>
            <w:r w:rsidRPr="00725FBC">
              <w:rPr>
                <w:rFonts w:ascii="Arial Narrow" w:hAnsi="Arial Narrow" w:cs="Arial"/>
                <w:lang w:val="es-MX"/>
              </w:rPr>
              <w:t xml:space="preserve"> observar con anterioridad a la celebración de negocios jurídicos ‘mediante una prudente constatación del estado jurídico’</w:t>
            </w:r>
            <w:r w:rsidRPr="00725FBC">
              <w:rPr>
                <w:rFonts w:ascii="Arial Narrow" w:hAnsi="Arial Narrow" w:cs="Arial"/>
                <w:lang w:val="es-MX"/>
              </w:rPr>
              <w:footnoteReference w:id="3"/>
            </w:r>
            <w:r w:rsidRPr="00725FBC">
              <w:rPr>
                <w:rFonts w:ascii="Arial Narrow" w:hAnsi="Arial Narrow" w:cs="Arial"/>
                <w:lang w:val="es-MX"/>
              </w:rPr>
              <w:t xml:space="preserve"> del inmueble que pretendió adquirir, hipotecar, embargar, etc., de modo que exista certeza de que el daño surgió, precisamente, de la información errónea proporcionada al usuario a través de los certificados que sobre los bienes raíces expide la correspondiente Oficina de Registro de Instrumentos Públicos.</w:t>
            </w:r>
          </w:p>
          <w:p w14:paraId="5D3DCCB1" w14:textId="77777777" w:rsidR="002E3542" w:rsidRPr="00725FBC" w:rsidRDefault="002E3542" w:rsidP="002E3542">
            <w:pPr>
              <w:tabs>
                <w:tab w:val="left" w:pos="1134"/>
              </w:tabs>
              <w:ind w:left="284" w:right="333"/>
              <w:jc w:val="both"/>
              <w:rPr>
                <w:rFonts w:ascii="Arial Narrow" w:hAnsi="Arial Narrow" w:cs="Arial"/>
              </w:rPr>
            </w:pPr>
          </w:p>
          <w:p w14:paraId="26E2952B" w14:textId="77777777" w:rsidR="002E3542" w:rsidRPr="00725FBC" w:rsidRDefault="002E3542" w:rsidP="002E3542">
            <w:pPr>
              <w:tabs>
                <w:tab w:val="left" w:pos="1134"/>
              </w:tabs>
              <w:ind w:left="284" w:right="333"/>
              <w:jc w:val="both"/>
              <w:rPr>
                <w:rFonts w:ascii="Arial Narrow" w:hAnsi="Arial Narrow" w:cs="Arial"/>
              </w:rPr>
            </w:pPr>
            <w:r w:rsidRPr="00725FBC">
              <w:rPr>
                <w:rFonts w:ascii="Arial Narrow" w:hAnsi="Arial Narrow" w:cs="Arial"/>
              </w:rPr>
              <w:t>“En efecto, a juicio de la Sala para que se configure la responsabilidad del Estado no es suficiente con acreditar la falla en la prestación del servicio público registral, sino que es necesario, además, demostrar que el daño alegado tuvo origen en una conducta –activa o de omisión- de la Administración; en otras palabras, ‘la obligación indemnizatoria no surge del manejo irregular de los folios en el registro, sino de la información equivocada suministrada mediante la expedición de certificaciones sobre dichos folios’ y, ‘por tal motivo, el comportamiento omisivo o negligente del usuario del servicio público registral determinante del daño, aún en presencia de una falla del servicio, impide la declaratoria de responsabilidad de la Administración’</w:t>
            </w:r>
            <w:r w:rsidRPr="00725FBC">
              <w:rPr>
                <w:rFonts w:ascii="Arial Narrow" w:hAnsi="Arial Narrow" w:cs="Arial"/>
              </w:rPr>
              <w:footnoteReference w:id="4"/>
            </w:r>
            <w:r w:rsidRPr="00725FBC">
              <w:rPr>
                <w:rFonts w:ascii="Arial Narrow" w:hAnsi="Arial Narrow" w:cs="Arial"/>
              </w:rPr>
              <w:t>”</w:t>
            </w:r>
            <w:r w:rsidRPr="00725FBC">
              <w:rPr>
                <w:rFonts w:ascii="Arial Narrow" w:hAnsi="Arial Narrow" w:cs="Arial"/>
              </w:rPr>
              <w:footnoteReference w:id="5"/>
            </w:r>
            <w:r w:rsidRPr="00725FBC">
              <w:rPr>
                <w:rFonts w:ascii="Arial Narrow" w:hAnsi="Arial Narrow" w:cs="Arial"/>
              </w:rPr>
              <w:t>.</w:t>
            </w:r>
          </w:p>
          <w:p w14:paraId="5D81578E" w14:textId="77777777" w:rsidR="002E3542" w:rsidRPr="00725FBC" w:rsidRDefault="002E3542" w:rsidP="002E3542">
            <w:pPr>
              <w:jc w:val="both"/>
              <w:rPr>
                <w:rFonts w:ascii="Arial Narrow" w:hAnsi="Arial Narrow" w:cs="Arial"/>
                <w:lang w:val="es-ES_tradnl"/>
              </w:rPr>
            </w:pPr>
          </w:p>
          <w:p w14:paraId="4608C09F" w14:textId="77777777" w:rsidR="002E3542" w:rsidRPr="00725FBC" w:rsidRDefault="002E3542" w:rsidP="002E3542">
            <w:pPr>
              <w:jc w:val="both"/>
              <w:rPr>
                <w:rFonts w:ascii="Arial Narrow" w:hAnsi="Arial Narrow" w:cs="Arial"/>
              </w:rPr>
            </w:pPr>
            <w:r w:rsidRPr="00725FBC">
              <w:rPr>
                <w:rFonts w:ascii="Arial Narrow" w:hAnsi="Arial Narrow" w:cs="Arial"/>
              </w:rPr>
              <w:t>Del precedente transcrito se pueden extraer dos conclusiones: por una parte, la importancia del ejercicio de la función registral para el adecuado tráfico jurídico y, por la otra, que no toda disparidad del registro con la realidad constituye en supuesto o causal de reparación a favor del particular, pues corresponde determinar el origen de la anotación, la conducta de la entidad, la posibilidad de actuar de manera distinta y, principalmente, la conducta de quienes acuden a las Oficinas de Registro para solicitar las anotaciones correspondientes.</w:t>
            </w:r>
          </w:p>
          <w:p w14:paraId="58D26C07" w14:textId="77777777" w:rsidR="002E3542" w:rsidRPr="00725FBC" w:rsidRDefault="002E3542" w:rsidP="002E3542">
            <w:pPr>
              <w:jc w:val="both"/>
              <w:rPr>
                <w:rFonts w:ascii="Arial Narrow" w:hAnsi="Arial Narrow" w:cs="Arial"/>
                <w:w w:val="106"/>
                <w:lang w:val="es-ES_tradnl"/>
              </w:rPr>
            </w:pPr>
          </w:p>
          <w:p w14:paraId="1B872156" w14:textId="77777777" w:rsidR="002E3542" w:rsidRPr="00725FBC" w:rsidRDefault="002E3542" w:rsidP="002E3542">
            <w:pPr>
              <w:jc w:val="both"/>
              <w:rPr>
                <w:rFonts w:ascii="Arial Narrow" w:hAnsi="Arial Narrow" w:cs="Arial"/>
                <w:lang w:bidi="es-ES"/>
              </w:rPr>
            </w:pPr>
            <w:r w:rsidRPr="00725FBC">
              <w:rPr>
                <w:rFonts w:ascii="Arial Narrow" w:hAnsi="Arial Narrow" w:cs="Arial"/>
              </w:rPr>
              <w:t xml:space="preserve">Teniendo de presente lo anterior, habiendo procedido a revisar el acápite de la fundamentación fáctica, se encuentra que, de acuerdo con lo establecido en la Ley 1579 de 2012, Estatuto Registral, en los artículos 1, 2, y 4, la función de las Oficinas de Registro de Instrumentos Públicos es servir de medio de tradición del dominio de los bienes raíces y de los otros derechos reales constituidos en ellos de conformidad con el artículo 756 del Código Civil; dar publicidad a los instrumentos públicos que trasladen, transmitan, muden, graven, limiten, declaren, afecten, modifiquen o extingan derechos reales sobre los bienes raíces; revestir de mérito probatorio a todos los instrumentos públicos sujetos a inscripción; y registrar los actos, títulos y documentos señalados en el artículo 4º de la Ley 1579 de 2012. Sin embargo, aunque esas funciones no son estrictamente mecánicas o automáticas, </w:t>
            </w:r>
            <w:r w:rsidRPr="00D674E7">
              <w:rPr>
                <w:rFonts w:ascii="Arial Narrow" w:hAnsi="Arial Narrow" w:cs="Arial"/>
                <w:b/>
                <w:bCs/>
              </w:rPr>
              <w:t>no se puede considerar que está dentro de la esfera de las funciones de las Oficinas de Registro garantizar la veracidad objetiva de la información contenida en los documentos sometidos a registro</w:t>
            </w:r>
            <w:r w:rsidRPr="00725FBC">
              <w:rPr>
                <w:rFonts w:ascii="Arial Narrow" w:hAnsi="Arial Narrow" w:cs="Arial"/>
              </w:rPr>
              <w:t>.</w:t>
            </w:r>
          </w:p>
          <w:p w14:paraId="2A169D16" w14:textId="77777777" w:rsidR="002E3542" w:rsidRPr="00725FBC" w:rsidRDefault="002E3542" w:rsidP="002E3542">
            <w:pPr>
              <w:jc w:val="both"/>
              <w:rPr>
                <w:rFonts w:ascii="Arial Narrow" w:hAnsi="Arial Narrow" w:cs="Arial"/>
                <w:lang w:bidi="es-ES"/>
              </w:rPr>
            </w:pPr>
          </w:p>
          <w:p w14:paraId="40951B5A" w14:textId="77777777" w:rsidR="002E3542" w:rsidRPr="00725FBC" w:rsidRDefault="002E3542" w:rsidP="002E3542">
            <w:pPr>
              <w:jc w:val="both"/>
              <w:rPr>
                <w:rFonts w:ascii="Arial Narrow" w:hAnsi="Arial Narrow" w:cs="Arial"/>
                <w:lang w:val="es-MX"/>
              </w:rPr>
            </w:pPr>
            <w:r w:rsidRPr="00725FBC">
              <w:rPr>
                <w:rFonts w:ascii="Arial Narrow" w:hAnsi="Arial Narrow" w:cs="Arial"/>
              </w:rPr>
              <w:t>El deber de verificación de las Oficinas De Registro tiene límites en la norma, pues no puede suplantar la labor de otras</w:t>
            </w:r>
            <w:r>
              <w:rPr>
                <w:rFonts w:ascii="Arial Narrow" w:hAnsi="Arial Narrow" w:cs="Arial"/>
              </w:rPr>
              <w:t xml:space="preserve"> </w:t>
            </w:r>
            <w:r w:rsidRPr="00725FBC">
              <w:rPr>
                <w:rFonts w:ascii="Arial Narrow" w:hAnsi="Arial Narrow" w:cs="Arial"/>
              </w:rPr>
              <w:t xml:space="preserve">autoridades públicas. En el caso del Estatuto Registral, se exige que esas oficinas constaten documentos a la vista y expidan copia de lo que reposa en sus archivos (art. 3, numerales 1, 4 y 7) y además su responsabilidad no llega a amparar </w:t>
            </w:r>
            <w:r w:rsidRPr="00725FBC">
              <w:rPr>
                <w:rFonts w:ascii="Arial Narrow" w:hAnsi="Arial Narrow" w:cs="Arial"/>
                <w:u w:val="single"/>
              </w:rPr>
              <w:t>la veracidad de las declaraciones de los interesados</w:t>
            </w:r>
            <w:r w:rsidRPr="00725FBC">
              <w:rPr>
                <w:rFonts w:ascii="Arial Narrow" w:hAnsi="Arial Narrow" w:cs="Arial"/>
              </w:rPr>
              <w:t xml:space="preserve"> (art. 9 del mismo estatuto), que su revisión es formal (art. 17 y 40) y que la autenticación da fe de la que corresponde. </w:t>
            </w:r>
          </w:p>
          <w:p w14:paraId="334714AD" w14:textId="77777777" w:rsidR="002E3542" w:rsidRPr="00725FBC" w:rsidRDefault="002E3542" w:rsidP="002E3542">
            <w:pPr>
              <w:jc w:val="both"/>
              <w:rPr>
                <w:rFonts w:ascii="Arial Narrow" w:hAnsi="Arial Narrow" w:cs="Arial"/>
              </w:rPr>
            </w:pPr>
          </w:p>
          <w:p w14:paraId="48F1078A" w14:textId="77777777" w:rsidR="002E3542" w:rsidRPr="00725FBC" w:rsidRDefault="002E3542" w:rsidP="002E3542">
            <w:pPr>
              <w:jc w:val="both"/>
              <w:rPr>
                <w:rFonts w:ascii="Arial Narrow" w:hAnsi="Arial Narrow" w:cs="Arial"/>
                <w:lang w:val="es-MX"/>
              </w:rPr>
            </w:pPr>
            <w:r w:rsidRPr="00725FBC">
              <w:rPr>
                <w:rFonts w:ascii="Arial Narrow" w:hAnsi="Arial Narrow" w:cs="Arial"/>
                <w:lang w:val="es-MX"/>
              </w:rPr>
              <w:t xml:space="preserve">Nótese pues que no se puede exigir del Registrador que garantice que los </w:t>
            </w:r>
            <w:r w:rsidRPr="00725FBC">
              <w:rPr>
                <w:rFonts w:ascii="Arial Narrow" w:hAnsi="Arial Narrow" w:cs="Arial"/>
              </w:rPr>
              <w:t>documentos</w:t>
            </w:r>
            <w:r w:rsidRPr="00725FBC">
              <w:rPr>
                <w:rFonts w:ascii="Arial Narrow" w:hAnsi="Arial Narrow" w:cs="Arial"/>
                <w:lang w:val="es-MX"/>
              </w:rPr>
              <w:t xml:space="preserve"> que registra gozan de total y plena legitimidad, pues ello excedería las funciones a él atribuidas por la ley, para determinar la validez de los títulos sometidos a registro, pues se trata de una labor de verificación de requisitos formales, en efecto, tal y como lo ha manifestado la doctrina especializada: </w:t>
            </w:r>
          </w:p>
          <w:p w14:paraId="61BB190A" w14:textId="77777777" w:rsidR="002E3542" w:rsidRPr="00725FBC" w:rsidRDefault="002E3542" w:rsidP="002E35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ight="333"/>
              <w:jc w:val="both"/>
              <w:rPr>
                <w:rFonts w:ascii="Arial Narrow" w:hAnsi="Arial Narrow" w:cs="Arial"/>
                <w:lang w:val="es-MX"/>
              </w:rPr>
            </w:pPr>
          </w:p>
          <w:p w14:paraId="61BC81A7"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“Serían títulos nulos o no admisibles para efectos del registro, los siguientes: El otorgado por un representante legal sin serlo; la venta de inmuebles de un menor, sin autorización judicial; la donación sin previas insinuación judicial o notarial; declaraciones sobre inmuebles en documento privado; la hipoteca de cosa ajena, etc.</w:t>
            </w:r>
          </w:p>
          <w:p w14:paraId="17C6C886" w14:textId="77777777" w:rsidR="002E3542" w:rsidRPr="00725FBC" w:rsidRDefault="002E3542" w:rsidP="002E35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ight="333"/>
              <w:jc w:val="both"/>
              <w:rPr>
                <w:rFonts w:ascii="Arial Narrow" w:hAnsi="Arial Narrow" w:cs="Arial"/>
                <w:lang w:val="es-MX"/>
              </w:rPr>
            </w:pPr>
            <w:r w:rsidRPr="00725FBC">
              <w:rPr>
                <w:rFonts w:ascii="Arial Narrow" w:hAnsi="Arial Narrow" w:cs="Arial"/>
                <w:lang w:val="es-MX"/>
              </w:rPr>
              <w:t xml:space="preserve"> </w:t>
            </w:r>
          </w:p>
          <w:p w14:paraId="400782E3" w14:textId="77777777" w:rsidR="002E3542" w:rsidRPr="00725FBC" w:rsidRDefault="002E3542" w:rsidP="002E3542">
            <w:pPr>
              <w:tabs>
                <w:tab w:val="left" w:pos="1134"/>
              </w:tabs>
              <w:ind w:left="284" w:right="333"/>
              <w:jc w:val="both"/>
              <w:rPr>
                <w:rFonts w:ascii="Arial Narrow" w:hAnsi="Arial Narrow" w:cs="Arial"/>
                <w:lang w:val="es-ES_tradnl"/>
              </w:rPr>
            </w:pPr>
            <w:r w:rsidRPr="00725FBC">
              <w:rPr>
                <w:rFonts w:ascii="Arial Narrow" w:hAnsi="Arial Narrow" w:cs="Arial"/>
                <w:lang w:val="es-MX"/>
              </w:rPr>
              <w:t>La función calificadora no puede tener los alcances dados por la ley a la justicia ordinaria.</w:t>
            </w:r>
            <w:r w:rsidRPr="00725FBC">
              <w:rPr>
                <w:rFonts w:ascii="Arial Narrow" w:hAnsi="Arial Narrow" w:cs="Arial"/>
                <w:lang w:val="es-ES_tradnl"/>
              </w:rPr>
              <w:t xml:space="preserve"> </w:t>
            </w:r>
            <w:r w:rsidRPr="00725FBC">
              <w:rPr>
                <w:rFonts w:ascii="Arial Narrow" w:hAnsi="Arial Narrow" w:cs="Arial"/>
                <w:lang w:val="es-MX"/>
              </w:rPr>
              <w:t>Un registrador no puede deducir la existencia de un vicio del consentimiento, o controvertir la no entrega del bien en una compraventa</w:t>
            </w:r>
            <w:r w:rsidRPr="00725FBC">
              <w:rPr>
                <w:rFonts w:ascii="Arial Narrow" w:hAnsi="Arial Narrow" w:cs="Arial"/>
                <w:lang w:val="es-ES_tradnl"/>
              </w:rPr>
              <w:t>, aunque el vendedor manifieste haberlo recibido” (Negrilla fuera de texto.)</w:t>
            </w:r>
          </w:p>
          <w:p w14:paraId="7B351FDE" w14:textId="77777777" w:rsidR="002E3542" w:rsidRPr="00725FBC" w:rsidRDefault="002E3542" w:rsidP="002E35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ight="333"/>
              <w:jc w:val="both"/>
              <w:rPr>
                <w:rFonts w:ascii="Arial Narrow" w:hAnsi="Arial Narrow" w:cs="Arial"/>
                <w:lang w:val="es-ES_tradnl"/>
              </w:rPr>
            </w:pPr>
            <w:r w:rsidRPr="00725FBC">
              <w:rPr>
                <w:rFonts w:ascii="Arial Narrow" w:hAnsi="Arial Narrow" w:cs="Arial"/>
                <w:lang w:val="es-ES_tradnl"/>
              </w:rPr>
              <w:t xml:space="preserve"> </w:t>
            </w:r>
          </w:p>
          <w:p w14:paraId="40148CF2"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De las normas sobre registro </w:t>
            </w:r>
            <w:r w:rsidRPr="00725FBC">
              <w:rPr>
                <w:rFonts w:ascii="Arial Narrow" w:hAnsi="Arial Narrow" w:cs="Arial"/>
                <w:u w:val="single"/>
              </w:rPr>
              <w:t>NO se desprende la existencia de una obligación en cabeza de las Oficinas de Registro relacionadas con la verificación objetiva de los documentos producidos por las diferentes Notarías o Curadurías del país</w:t>
            </w:r>
            <w:r w:rsidRPr="00725FBC">
              <w:rPr>
                <w:rFonts w:ascii="Arial Narrow" w:hAnsi="Arial Narrow" w:cs="Arial"/>
              </w:rPr>
              <w:t xml:space="preserve">, o de las distintas entidades públicas de las cuales provienen los títulos, para determinar si efectivamente se produjeron dichos documentos en esas dependencias, o si el contenido que éstas manifiestan corresponde a la verdad. </w:t>
            </w:r>
          </w:p>
          <w:p w14:paraId="6F6FFF25" w14:textId="77777777" w:rsidR="002E3542" w:rsidRPr="00725FBC" w:rsidRDefault="002E3542" w:rsidP="002E3542">
            <w:pPr>
              <w:jc w:val="both"/>
              <w:rPr>
                <w:rFonts w:ascii="Arial Narrow" w:hAnsi="Arial Narrow" w:cs="Arial"/>
                <w:lang w:val="es-MX"/>
              </w:rPr>
            </w:pPr>
          </w:p>
          <w:p w14:paraId="369C2979" w14:textId="77777777" w:rsidR="002E3542" w:rsidRDefault="002E3542" w:rsidP="002E3542">
            <w:pPr>
              <w:jc w:val="both"/>
              <w:rPr>
                <w:rFonts w:ascii="Arial Narrow" w:hAnsi="Arial Narrow" w:cs="Arial"/>
              </w:rPr>
            </w:pPr>
            <w:r w:rsidRPr="00725FBC">
              <w:rPr>
                <w:rFonts w:ascii="Arial Narrow" w:hAnsi="Arial Narrow" w:cs="Arial"/>
              </w:rPr>
              <w:t xml:space="preserve">Si bien es cierto que el ejercicio de la función registral no se realiza de manera irreflexiva o mecánica, no lo es menos que ello no puede llevar a afirmar la existencia de una responsabilidad automática por el hecho delictivo o los errores de los usuarios del servicio. </w:t>
            </w:r>
          </w:p>
          <w:p w14:paraId="1FEFEAB0" w14:textId="77777777" w:rsidR="002E3542" w:rsidRDefault="002E3542" w:rsidP="002E3542">
            <w:pPr>
              <w:jc w:val="both"/>
              <w:rPr>
                <w:rFonts w:ascii="Arial Narrow" w:hAnsi="Arial Narrow" w:cs="Arial"/>
              </w:rPr>
            </w:pPr>
          </w:p>
          <w:p w14:paraId="520B32B6" w14:textId="77777777" w:rsidR="002E3542" w:rsidRPr="00536BF0" w:rsidRDefault="002E3542" w:rsidP="002E3542">
            <w:pPr>
              <w:pStyle w:val="Prrafodelista"/>
              <w:numPr>
                <w:ilvl w:val="0"/>
                <w:numId w:val="12"/>
              </w:numPr>
              <w:jc w:val="both"/>
              <w:rPr>
                <w:rFonts w:ascii="Arial Narrow" w:hAnsi="Arial Narrow" w:cs="Arial"/>
              </w:rPr>
            </w:pPr>
            <w:r w:rsidRPr="00536BF0">
              <w:rPr>
                <w:rFonts w:ascii="Arial Narrow" w:hAnsi="Arial Narrow" w:cs="Arial"/>
              </w:rPr>
              <w:t xml:space="preserve">HECHO DE UN TERCERO COMO EXIMENTE DE RESPONSABILIDAD O CAUSAL EXCLUYENTE DE IMPUTACIÓN </w:t>
            </w:r>
          </w:p>
          <w:p w14:paraId="12A5429E" w14:textId="77777777" w:rsidR="002E3542" w:rsidRPr="00725FBC" w:rsidRDefault="002E3542" w:rsidP="002E3542">
            <w:pPr>
              <w:pStyle w:val="Prrafodelista"/>
              <w:shd w:val="clear" w:color="auto" w:fill="FFFFFF"/>
              <w:ind w:left="1080" w:right="900"/>
              <w:jc w:val="both"/>
              <w:rPr>
                <w:rFonts w:ascii="Arial Narrow" w:hAnsi="Arial Narrow" w:cs="Arial"/>
              </w:rPr>
            </w:pPr>
          </w:p>
          <w:p w14:paraId="68F95A59"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Las tradicionalmente denominadas causales eximentes de responsabilidad </w:t>
            </w:r>
            <w:r w:rsidRPr="00725FBC">
              <w:rPr>
                <w:rFonts w:ascii="Arial Narrow" w:hAnsi="Arial Narrow" w:cs="Arial"/>
              </w:rPr>
              <w:sym w:font="Symbol" w:char="F0BE"/>
            </w:r>
            <w:r w:rsidRPr="00725FBC">
              <w:rPr>
                <w:rFonts w:ascii="Arial Narrow" w:hAnsi="Arial Narrow" w:cs="Arial"/>
              </w:rPr>
              <w:t>fuerza mayor, caso fortuito, hecho exclusivo y determinante de un tercero o de la víctima</w:t>
            </w:r>
            <w:r w:rsidRPr="00725FBC">
              <w:rPr>
                <w:rFonts w:ascii="Arial Narrow" w:hAnsi="Arial Narrow" w:cs="Arial"/>
              </w:rPr>
              <w:sym w:font="Symbol" w:char="F0BE"/>
            </w:r>
            <w:r w:rsidRPr="00725FBC">
              <w:rPr>
                <w:rFonts w:ascii="Arial Narrow" w:hAnsi="Arial Narrow" w:cs="Arial"/>
              </w:rPr>
              <w:t xml:space="preserve"> constituyen diversos eventos que dan lugar a que devenga imposible imputar, desde el punto de vista jurídico, la responsabilidad por los daños cuya causación da lugar a la iniciación del litigio, a la persona o entidad que obra como demandada dentro del mismo. En relación con todas ellas, tres son los elementos cuya concurrencia tradicionalmente se ha señalado como necesaria para que sea procedente admitir su configuración: (i) su irresistibilidad; (ii) su imprevisibilidad y (iii) su exterioridad respecto del demandado, extremos en relación con los cuales la jurisprudencia de la Sección Tercera del Honorable Consejo de Estado ha sostenido lo siguiente: </w:t>
            </w:r>
          </w:p>
          <w:p w14:paraId="410BF5F4" w14:textId="77777777" w:rsidR="002E3542" w:rsidRPr="00725FBC" w:rsidRDefault="002E3542" w:rsidP="002E3542">
            <w:pPr>
              <w:jc w:val="both"/>
              <w:rPr>
                <w:rFonts w:ascii="Arial Narrow" w:hAnsi="Arial Narrow" w:cs="Arial"/>
              </w:rPr>
            </w:pPr>
          </w:p>
          <w:p w14:paraId="02E76185"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 xml:space="preserve">“En cuanto tiene que ver con (i) la irresistibilidad como elemento de la causa extraña, la misma consiste en la imposibilidad del obligado a determinado comportamiento o actividad para desplegarlo o para llevarla a cabo; en otros términos, el daño debe resultar inevitable para que pueda sostenerse la ocurrencia de una causa extraña, teniendo en cuenta que lo irresistible o inevitable deben ser los efectos del fenómeno y no el fenómeno mismo -pues el demandado podría, en determinadas circunstancias, llegar a evitar o impedir los efectos dañinos del fenómeno, aunque este sea, en sí mismo, irresistible, caso de un terremoto o de un huracán (artículo 64 del Código Civil) algunos de cuyos efectos nocivos, en ciertos supuestos o bajo determinadas condiciones, podrían ser evitado- </w:t>
            </w:r>
          </w:p>
          <w:p w14:paraId="0194D08F" w14:textId="77777777" w:rsidR="002E3542" w:rsidRPr="00725FBC" w:rsidRDefault="002E3542" w:rsidP="002E3542">
            <w:pPr>
              <w:tabs>
                <w:tab w:val="left" w:pos="1134"/>
              </w:tabs>
              <w:ind w:left="284" w:right="333"/>
              <w:jc w:val="both"/>
              <w:rPr>
                <w:rFonts w:ascii="Arial Narrow" w:hAnsi="Arial Narrow" w:cs="Arial"/>
                <w:lang w:val="es-MX"/>
              </w:rPr>
            </w:pPr>
          </w:p>
          <w:p w14:paraId="4511BBFE"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Por lo demás, si bien la mera dificultad no puede constituirse en verdadera imposibilidad, ello tampoco debe conducir al entendimiento de acuerdo con el cual la imposibilidad siempre debe revestir un carácter sobrehumano; basta con que la misma, de acuerdo con la valoración que de ella efectúe el juez en el caso concreto, aparezca razonable, como lo indica la doctrina: «La imposibilidad de ejecución debe interpretarse de una manera humana y teniendo en cuenta todas las circunstancias: basta que la imposibilidad sea normalmente insuperable teniendo en cuenta las condiciones de la vida»</w:t>
            </w:r>
          </w:p>
          <w:p w14:paraId="5465D908" w14:textId="77777777" w:rsidR="002E3542" w:rsidRPr="00725FBC" w:rsidRDefault="002E3542" w:rsidP="002E3542">
            <w:pPr>
              <w:tabs>
                <w:tab w:val="left" w:pos="1134"/>
              </w:tabs>
              <w:ind w:left="284" w:right="333"/>
              <w:jc w:val="both"/>
              <w:rPr>
                <w:rFonts w:ascii="Arial Narrow" w:hAnsi="Arial Narrow" w:cs="Arial"/>
                <w:lang w:val="es-MX"/>
              </w:rPr>
            </w:pPr>
          </w:p>
          <w:p w14:paraId="6243E5DD"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 xml:space="preserve">(...) </w:t>
            </w:r>
          </w:p>
          <w:p w14:paraId="61D646F2" w14:textId="77777777" w:rsidR="002E3542" w:rsidRPr="00725FBC" w:rsidRDefault="002E3542" w:rsidP="002E3542">
            <w:pPr>
              <w:tabs>
                <w:tab w:val="left" w:pos="1134"/>
              </w:tabs>
              <w:ind w:left="284" w:right="333"/>
              <w:jc w:val="both"/>
              <w:rPr>
                <w:rFonts w:ascii="Arial Narrow" w:hAnsi="Arial Narrow" w:cs="Arial"/>
                <w:lang w:val="es-MX"/>
              </w:rPr>
            </w:pPr>
          </w:p>
          <w:p w14:paraId="746C8ED3"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 xml:space="preserve">Y, por otra parte, en lo relacionado con (iii) la exterioridad de la causa extraña, si bien se ha señalado que dicho rasgo característico se contrae a determinar que aquella no puede ser imputable a la culpa del agente que causa el daño o que el evento correspondiente ha de ser externo o exterior a su actividad, quizás sea lo más acertado sostener que la referida exterioridad se concreta en que el acontecimiento y circunstancia que el demandado invoca como causa extraña debe resultarle ajeno jurídicamente, pues más allá de sostener que la causa extraña no debe poder imputarse a la culpa del agente resulta, hasta cierto punto, tautológico en la medida en que si hay culpa del citado agente mal podría predicarse la configuración </w:t>
            </w:r>
            <w:r w:rsidRPr="00725FBC">
              <w:rPr>
                <w:rFonts w:ascii="Arial Narrow" w:hAnsi="Arial Narrow" w:cs="Arial"/>
                <w:lang w:val="es-MX"/>
              </w:rPr>
              <w:sym w:font="Symbol" w:char="F0BE"/>
            </w:r>
            <w:r w:rsidRPr="00725FBC">
              <w:rPr>
                <w:rFonts w:ascii="Arial Narrow" w:hAnsi="Arial Narrow" w:cs="Arial"/>
                <w:lang w:val="es-MX"/>
              </w:rPr>
              <w:t>al menos con efecto liberatorio pleno</w:t>
            </w:r>
            <w:r w:rsidRPr="00725FBC">
              <w:rPr>
                <w:rFonts w:ascii="Arial Narrow" w:hAnsi="Arial Narrow" w:cs="Arial"/>
                <w:lang w:val="es-MX"/>
              </w:rPr>
              <w:sym w:font="Symbol" w:char="F0BE"/>
            </w:r>
            <w:r w:rsidRPr="00725FBC">
              <w:rPr>
                <w:rFonts w:ascii="Arial Narrow" w:hAnsi="Arial Narrow" w:cs="Arial"/>
                <w:lang w:val="es-MX"/>
              </w:rPr>
              <w:t xml:space="preserve"> de causal de exoneración alguna, tampoco puede perderse de vista que existen supuestos en los cuales, a pesar de no existir culpa por parte del agente o del ente estatal demandado, tal consideración no es suficiente para eximirle de responsabilidad, </w:t>
            </w:r>
            <w:r w:rsidRPr="00725FBC">
              <w:rPr>
                <w:rFonts w:ascii="Arial Narrow" w:hAnsi="Arial Narrow" w:cs="Arial"/>
                <w:lang w:val="es-MX"/>
              </w:rPr>
              <w:lastRenderedPageBreak/>
              <w:t>como ocurre en los casos en los cuales el régimen de responsabilidad aplicable es de naturaleza objetiva, razón por la cual la exterioridad que se exige de la causa del daño para que pueda ser considerada extraña a la entidad demandada es una exterioridad jurídica,</w:t>
            </w:r>
            <w:r w:rsidRPr="00725FBC">
              <w:rPr>
                <w:rFonts w:ascii="Arial Narrow" w:hAnsi="Arial Narrow" w:cs="Arial"/>
              </w:rPr>
              <w:t xml:space="preserve"> </w:t>
            </w:r>
            <w:r w:rsidRPr="00725FBC">
              <w:rPr>
                <w:rFonts w:ascii="Arial Narrow" w:hAnsi="Arial Narrow" w:cs="Arial"/>
                <w:lang w:val="es-MX"/>
              </w:rPr>
              <w:t>en el sentido de que ha de tratarse de un suceso o acaecimiento por el cual no tenga el deber jurídico de responder la accionada.</w:t>
            </w:r>
            <w:r w:rsidRPr="00725FBC">
              <w:rPr>
                <w:rFonts w:ascii="Arial Narrow" w:hAnsi="Arial Narrow" w:cs="Arial"/>
              </w:rPr>
              <w:t>”</w:t>
            </w:r>
          </w:p>
          <w:p w14:paraId="03B0177D" w14:textId="77777777" w:rsidR="002E3542" w:rsidRPr="00725FBC" w:rsidRDefault="002E3542" w:rsidP="002E3542">
            <w:pPr>
              <w:ind w:right="333"/>
              <w:jc w:val="both"/>
              <w:rPr>
                <w:rFonts w:ascii="Arial Narrow" w:hAnsi="Arial Narrow" w:cs="Arial"/>
              </w:rPr>
            </w:pPr>
          </w:p>
          <w:p w14:paraId="1581BA01" w14:textId="77777777" w:rsidR="002E3542" w:rsidRPr="00725FBC" w:rsidRDefault="002E3542" w:rsidP="002E3542">
            <w:pPr>
              <w:jc w:val="both"/>
              <w:rPr>
                <w:rFonts w:ascii="Arial Narrow" w:hAnsi="Arial Narrow" w:cs="Arial"/>
              </w:rPr>
            </w:pPr>
            <w:r w:rsidRPr="00725FBC">
              <w:rPr>
                <w:rFonts w:ascii="Arial Narrow" w:hAnsi="Arial Narrow" w:cs="Arial"/>
              </w:rPr>
              <w:t>En ese orden de ideas, resulta dable concluir que para que dichas causales eximentes de responsabilidad puedan tener plenos efectos liberadores respecto de la responsabilidad estatal, resulta necesario que la conducta desplegada por la víctima o por un tercero sea la causa determinante del daño.</w:t>
            </w:r>
          </w:p>
          <w:p w14:paraId="2CC9768E" w14:textId="77777777" w:rsidR="002E3542" w:rsidRPr="00725FBC" w:rsidRDefault="002E3542" w:rsidP="002E3542">
            <w:pPr>
              <w:jc w:val="both"/>
              <w:rPr>
                <w:rFonts w:ascii="Arial Narrow" w:hAnsi="Arial Narrow" w:cs="Arial"/>
              </w:rPr>
            </w:pPr>
          </w:p>
          <w:p w14:paraId="47D5F649" w14:textId="77777777" w:rsidR="002E3542" w:rsidRDefault="002E3542" w:rsidP="002E3542">
            <w:pPr>
              <w:jc w:val="both"/>
              <w:rPr>
                <w:rFonts w:ascii="Arial Narrow" w:hAnsi="Arial Narrow" w:cs="Arial"/>
              </w:rPr>
            </w:pPr>
            <w:r w:rsidRPr="00725FBC">
              <w:rPr>
                <w:rFonts w:ascii="Arial Narrow" w:hAnsi="Arial Narrow" w:cs="Arial"/>
              </w:rPr>
              <w:t>En el caso concreto, surge del análisis de los hechos planteados por la parte demandante</w:t>
            </w:r>
            <w:r>
              <w:rPr>
                <w:rFonts w:ascii="Arial Narrow" w:hAnsi="Arial Narrow" w:cs="Arial"/>
              </w:rPr>
              <w:t xml:space="preserve">, tienen que ver con la actuación de un tercero ajeno a la Superintendencia de Notariado y Registro, como lo es Cementos Argos, motivo por el cual las pretensiones deben negarse frente a mi poderdante. </w:t>
            </w:r>
          </w:p>
          <w:p w14:paraId="76561A0B" w14:textId="77777777" w:rsidR="002E3542" w:rsidRDefault="002E3542" w:rsidP="002E3542">
            <w:pPr>
              <w:jc w:val="both"/>
              <w:rPr>
                <w:rFonts w:ascii="Arial Narrow" w:hAnsi="Arial Narrow" w:cs="Arial"/>
              </w:rPr>
            </w:pPr>
          </w:p>
          <w:p w14:paraId="60321BCB"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La situación de una </w:t>
            </w:r>
            <w:r>
              <w:rPr>
                <w:rFonts w:ascii="Arial Narrow" w:hAnsi="Arial Narrow" w:cs="Arial"/>
              </w:rPr>
              <w:t>presunta</w:t>
            </w:r>
            <w:r w:rsidRPr="00725FBC">
              <w:rPr>
                <w:rFonts w:ascii="Arial Narrow" w:hAnsi="Arial Narrow" w:cs="Arial"/>
              </w:rPr>
              <w:t xml:space="preserve"> falsedad</w:t>
            </w:r>
            <w:r>
              <w:rPr>
                <w:rFonts w:ascii="Arial Narrow" w:hAnsi="Arial Narrow" w:cs="Arial"/>
              </w:rPr>
              <w:t xml:space="preserve"> y/o irregularidad en los títulos que fueron objeto de inscripción </w:t>
            </w:r>
            <w:r w:rsidRPr="00725FBC">
              <w:rPr>
                <w:rFonts w:ascii="Arial Narrow" w:hAnsi="Arial Narrow" w:cs="Arial"/>
              </w:rPr>
              <w:t xml:space="preserve"> se escapa del control de la Oficina de Registro de Instrumentos Públicos, pues partiendo de la buena fe de que gozan los documentos protocolizados ante los Notarios, el funcionario calificador procede a la inscripción de la Escritura Pública. Adicionalmente, debe manifestarse que los documentos públicos y privados gozan de una presunción de autenticidad.</w:t>
            </w:r>
          </w:p>
          <w:p w14:paraId="7D612810" w14:textId="77777777" w:rsidR="002E3542" w:rsidRPr="00725FBC" w:rsidRDefault="002E3542" w:rsidP="002E3542">
            <w:pPr>
              <w:jc w:val="both"/>
              <w:rPr>
                <w:rFonts w:ascii="Arial Narrow" w:hAnsi="Arial Narrow" w:cs="Arial"/>
              </w:rPr>
            </w:pPr>
          </w:p>
          <w:p w14:paraId="134AEE8B"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De igual manera, debe explicarse que los objetivos del registro fueron especificados en la Ley 1579 de 2012, que en su artículo 2 especificó: </w:t>
            </w:r>
          </w:p>
          <w:p w14:paraId="3CAE005F" w14:textId="77777777" w:rsidR="002E3542" w:rsidRPr="00725FBC" w:rsidRDefault="002E3542" w:rsidP="002E35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ight="333"/>
              <w:jc w:val="both"/>
              <w:rPr>
                <w:rFonts w:ascii="Arial Narrow" w:hAnsi="Arial Narrow" w:cs="Arial"/>
                <w:lang w:val="es-MX"/>
              </w:rPr>
            </w:pPr>
          </w:p>
          <w:p w14:paraId="7A5106FD"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 xml:space="preserve">“Artículo 2°. Objetivos. El registro de la propiedad inmueble tiene como objetivos básicos los siguientes: </w:t>
            </w:r>
          </w:p>
          <w:p w14:paraId="118606E2"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 xml:space="preserve">a) Servir de medio de tradición del dominio de los bienes raíces y de los otros derechos reales constituidos en ellos de conformidad con el artículo 756 del Código Civil; </w:t>
            </w:r>
          </w:p>
          <w:p w14:paraId="5DC2C006"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 xml:space="preserve">b) Dar publicidad a los instrumentos públicos que trasladen, transmitan, muden, graven, limiten, declaren, afecten, modifiquen o extingan derechos reales sobre los bienes raíces; </w:t>
            </w:r>
          </w:p>
          <w:p w14:paraId="134DA1AA" w14:textId="77777777" w:rsidR="002E3542" w:rsidRPr="00725FBC" w:rsidRDefault="002E3542" w:rsidP="002E3542">
            <w:pPr>
              <w:tabs>
                <w:tab w:val="left" w:pos="1134"/>
              </w:tabs>
              <w:ind w:left="284" w:right="333"/>
              <w:jc w:val="both"/>
              <w:rPr>
                <w:rFonts w:ascii="Arial Narrow" w:hAnsi="Arial Narrow" w:cs="Arial"/>
                <w:lang w:val="es-MX"/>
              </w:rPr>
            </w:pPr>
            <w:r w:rsidRPr="00725FBC">
              <w:rPr>
                <w:rFonts w:ascii="Arial Narrow" w:hAnsi="Arial Narrow" w:cs="Arial"/>
                <w:lang w:val="es-MX"/>
              </w:rPr>
              <w:t>c) Revestir de mérito probatorio a todos los instrumentos públicos sujetos a inscripción”.</w:t>
            </w:r>
          </w:p>
          <w:p w14:paraId="243FB76C" w14:textId="77777777" w:rsidR="002E3542" w:rsidRPr="00725FBC" w:rsidRDefault="002E3542" w:rsidP="002E3542">
            <w:pPr>
              <w:jc w:val="both"/>
              <w:rPr>
                <w:rFonts w:ascii="Arial Narrow" w:hAnsi="Arial Narrow" w:cs="Arial"/>
              </w:rPr>
            </w:pPr>
          </w:p>
          <w:p w14:paraId="3B6C7AB5"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Asimismo, uno de los principios que rige el derecho registral, de conformidad con el artículo 3 de la misma ley, es el de legalidad, según el cual, “Solo son registrables los títulos y documentos que reúnan los requisitos exigidos por las leyes para su inscripción”, los cuales están determinados en el artículo 16 del Estatuto Notarial y las que exijan otras normas, sin que se obligue a un examen exhaustivo frente a la legalidad y autenticidad de los documentos que son sometidos a su conocimiento y sin que se convaliden por el registro aquellos que sean nulos conforme a la ley. </w:t>
            </w:r>
          </w:p>
          <w:p w14:paraId="4BAC4EBD" w14:textId="77777777" w:rsidR="002E3542" w:rsidRPr="00725FBC" w:rsidRDefault="002E3542" w:rsidP="002E3542">
            <w:pPr>
              <w:jc w:val="both"/>
              <w:rPr>
                <w:rFonts w:ascii="Arial Narrow" w:hAnsi="Arial Narrow" w:cs="Arial"/>
              </w:rPr>
            </w:pPr>
          </w:p>
          <w:p w14:paraId="2C559276" w14:textId="77777777" w:rsidR="002E3542" w:rsidRPr="00725FBC" w:rsidRDefault="002E3542" w:rsidP="002E3542">
            <w:pPr>
              <w:jc w:val="both"/>
              <w:rPr>
                <w:rFonts w:ascii="Arial Narrow" w:hAnsi="Arial Narrow" w:cs="Arial"/>
              </w:rPr>
            </w:pPr>
            <w:r w:rsidRPr="00725FBC">
              <w:rPr>
                <w:rFonts w:ascii="Arial Narrow" w:hAnsi="Arial Narrow" w:cs="Arial"/>
              </w:rPr>
              <w:t xml:space="preserve">Es reiterativa y clara la jurisprudencia del Honorable Consejo de Estado donde deja sentadas las atribuciones dadas a las Oficinas de Instrumentos Públicos, y en concordancia con la Ley 1579 de 2012, en cuanto a que la obligación de dichas Oficinas, si bien no es mecánica o automática, tampoco puede llegar al extremo de verificar con un grado de certeza absoluta acerca de la legalidad de los documentos que se presentan para registro. En el caso concreto, al momento de ocurrencia de los hechos se realizó la verificación con los estándares normales de la actividad registral, no existían razones para crear un estándar distinto o verificar con algún grado mayor </w:t>
            </w:r>
            <w:r w:rsidRPr="00725FBC">
              <w:rPr>
                <w:rFonts w:ascii="Arial Narrow" w:hAnsi="Arial Narrow" w:cs="Arial"/>
              </w:rPr>
              <w:lastRenderedPageBreak/>
              <w:t>de análisis, pues, en virtud del principio de buena fe se debía presumir que los documentos estaban en regla. Exigir lo contrario sería lo mismo que obligar a la entidad a realizar lo imposible.</w:t>
            </w:r>
          </w:p>
          <w:p w14:paraId="69E07EA0" w14:textId="77777777" w:rsidR="002E3542" w:rsidRPr="00725FBC" w:rsidRDefault="002E3542" w:rsidP="002E3542">
            <w:pPr>
              <w:jc w:val="both"/>
              <w:rPr>
                <w:rFonts w:ascii="Arial Narrow" w:hAnsi="Arial Narrow" w:cs="Arial"/>
              </w:rPr>
            </w:pPr>
          </w:p>
          <w:p w14:paraId="64669E15" w14:textId="77777777" w:rsidR="002E3542" w:rsidRPr="00536BF0" w:rsidRDefault="002E3542" w:rsidP="002E3542">
            <w:pPr>
              <w:pStyle w:val="Prrafodelista"/>
              <w:numPr>
                <w:ilvl w:val="0"/>
                <w:numId w:val="12"/>
              </w:numPr>
              <w:shd w:val="clear" w:color="auto" w:fill="FFFFFF"/>
              <w:ind w:right="49"/>
              <w:jc w:val="both"/>
              <w:rPr>
                <w:rFonts w:ascii="Arial Narrow" w:hAnsi="Arial Narrow" w:cs="Arial"/>
              </w:rPr>
            </w:pPr>
            <w:r w:rsidRPr="00536BF0">
              <w:rPr>
                <w:rFonts w:ascii="Arial Narrow" w:hAnsi="Arial Narrow" w:cs="Arial"/>
              </w:rPr>
              <w:t>FALTA DE LEGITIMIDAD MATERIAL EN LA CAUSA POR PASIVA</w:t>
            </w:r>
          </w:p>
          <w:p w14:paraId="4FCB834A" w14:textId="77777777" w:rsidR="002E3542" w:rsidRPr="00725FBC" w:rsidRDefault="002E3542" w:rsidP="002E3542">
            <w:pPr>
              <w:pStyle w:val="Prrafodelista"/>
              <w:shd w:val="clear" w:color="auto" w:fill="FFFFFF"/>
              <w:ind w:left="851" w:right="49"/>
              <w:jc w:val="both"/>
              <w:rPr>
                <w:rFonts w:ascii="Arial Narrow" w:hAnsi="Arial Narrow" w:cs="Arial"/>
              </w:rPr>
            </w:pPr>
          </w:p>
          <w:p w14:paraId="4D788ACB" w14:textId="77777777" w:rsidR="002E3542" w:rsidRPr="00725FBC" w:rsidRDefault="002E3542" w:rsidP="002E3542">
            <w:pPr>
              <w:tabs>
                <w:tab w:val="left" w:pos="1134"/>
              </w:tabs>
              <w:jc w:val="both"/>
              <w:rPr>
                <w:rFonts w:ascii="Arial Narrow" w:hAnsi="Arial Narrow" w:cs="Arial"/>
              </w:rPr>
            </w:pPr>
            <w:r w:rsidRPr="00725FBC">
              <w:rPr>
                <w:rFonts w:ascii="Arial Narrow" w:hAnsi="Arial Narrow" w:cs="Arial"/>
              </w:rPr>
              <w:t>De la narración de los hechos y de las pruebas allegadas con la demanda se evidencia que estamos frente a una Falta De Legitimación En La Causa Por Pasiva. Esto es así por cuanto sólo en los eventos en que (i) la falla recaiga en una omisión o irregularidad en la función de anotación y registro de instrumentos que contienen modificaciones a la titularidad de los bienes inmuebles, (ii) la falla provenga de la falta de verificación de los requisitos formales del instrumento que se presente para registro, o (iii) la falla provenga de la omisión de los deberes de vigilancia y control de la superintendencia</w:t>
            </w:r>
            <w:r w:rsidRPr="00725FBC">
              <w:rPr>
                <w:rFonts w:ascii="Arial Narrow" w:hAnsi="Arial Narrow" w:cs="Arial"/>
                <w:vertAlign w:val="superscript"/>
              </w:rPr>
              <w:footnoteReference w:id="6"/>
            </w:r>
            <w:r w:rsidRPr="00725FBC">
              <w:rPr>
                <w:rFonts w:ascii="Arial Narrow" w:hAnsi="Arial Narrow" w:cs="Arial"/>
              </w:rPr>
              <w:t xml:space="preserve"> habrá lugar a que se considere que le asiste a la Superintendencia de Notariado y Registro legitimidad en la causa por pasiva.</w:t>
            </w:r>
          </w:p>
          <w:p w14:paraId="24717094" w14:textId="77777777" w:rsidR="002E3542" w:rsidRPr="00725FBC" w:rsidRDefault="002E3542" w:rsidP="002E3542">
            <w:pPr>
              <w:tabs>
                <w:tab w:val="left" w:pos="1134"/>
              </w:tabs>
              <w:jc w:val="both"/>
              <w:rPr>
                <w:rFonts w:ascii="Arial Narrow" w:hAnsi="Arial Narrow" w:cs="Arial"/>
              </w:rPr>
            </w:pPr>
          </w:p>
          <w:p w14:paraId="2EF8A7A5" w14:textId="77777777" w:rsidR="002E3542" w:rsidRPr="00725FBC" w:rsidRDefault="002E3542" w:rsidP="002E3542">
            <w:pPr>
              <w:tabs>
                <w:tab w:val="left" w:pos="1134"/>
              </w:tabs>
              <w:jc w:val="both"/>
              <w:rPr>
                <w:rFonts w:ascii="Arial Narrow" w:hAnsi="Arial Narrow" w:cs="Arial"/>
              </w:rPr>
            </w:pPr>
            <w:r w:rsidRPr="00725FBC">
              <w:rPr>
                <w:rFonts w:ascii="Arial Narrow" w:hAnsi="Arial Narrow" w:cs="Arial"/>
              </w:rPr>
              <w:t>Esto es así ya que respecto de la falla registral se tiene que comprender la omisión o irregularidad en la función de anotación y registro de los instrumentos que contienen afectaciones o modificaciones en la titularidad de los bienes inmuebles y que tiene una finalidad “esencialmente publicitaria, como que produce efectos respecto de terceros”, por lo que debe respetarse el principio de los derechos reales conforme al cual “primero en el tiempo, primero en el Derecho.</w:t>
            </w:r>
          </w:p>
          <w:p w14:paraId="14444288" w14:textId="77777777" w:rsidR="002E3542" w:rsidRPr="00725FBC" w:rsidRDefault="002E3542" w:rsidP="002E3542">
            <w:pPr>
              <w:tabs>
                <w:tab w:val="left" w:pos="1134"/>
              </w:tabs>
              <w:jc w:val="both"/>
              <w:rPr>
                <w:rFonts w:ascii="Arial Narrow" w:hAnsi="Arial Narrow" w:cs="Arial"/>
              </w:rPr>
            </w:pPr>
          </w:p>
          <w:p w14:paraId="19B909DD" w14:textId="77777777" w:rsidR="002E3542" w:rsidRPr="00725FBC" w:rsidRDefault="002E3542" w:rsidP="002E3542">
            <w:pPr>
              <w:numPr>
                <w:ilvl w:val="0"/>
                <w:numId w:val="12"/>
              </w:numPr>
              <w:tabs>
                <w:tab w:val="left" w:pos="1134"/>
              </w:tabs>
              <w:jc w:val="both"/>
              <w:rPr>
                <w:rFonts w:ascii="Arial Narrow" w:hAnsi="Arial Narrow" w:cs="Arial"/>
              </w:rPr>
            </w:pPr>
            <w:r w:rsidRPr="00725FBC">
              <w:rPr>
                <w:rFonts w:ascii="Arial Narrow" w:hAnsi="Arial Narrow" w:cs="Arial"/>
              </w:rPr>
              <w:t>AUSENCIA DE NEXO DE CAUSALIDAD:</w:t>
            </w:r>
          </w:p>
          <w:p w14:paraId="6ABC2E70" w14:textId="77777777" w:rsidR="002E3542" w:rsidRPr="00725FBC" w:rsidRDefault="002E3542" w:rsidP="002E3542">
            <w:pPr>
              <w:tabs>
                <w:tab w:val="left" w:pos="1134"/>
              </w:tabs>
              <w:jc w:val="both"/>
              <w:rPr>
                <w:rFonts w:ascii="Arial Narrow" w:hAnsi="Arial Narrow" w:cs="Arial"/>
              </w:rPr>
            </w:pPr>
          </w:p>
          <w:p w14:paraId="504E5FA5" w14:textId="77777777" w:rsidR="002E3542" w:rsidRDefault="002E3542" w:rsidP="002E3542">
            <w:pPr>
              <w:jc w:val="both"/>
              <w:rPr>
                <w:rFonts w:ascii="Arial Narrow" w:hAnsi="Arial Narrow" w:cs="Arial"/>
                <w:lang w:val="es-MX"/>
              </w:rPr>
            </w:pPr>
            <w:r w:rsidRPr="00725FBC">
              <w:rPr>
                <w:rFonts w:ascii="Arial Narrow" w:hAnsi="Arial Narrow" w:cs="Arial"/>
                <w:lang w:val="es-MX"/>
              </w:rPr>
              <w:t>En los hechos de la demanda no se establece el nexo de causalidad que permita imputarle responsabilidad a la entidad demandada teniendo en cuenta que</w:t>
            </w:r>
            <w:r>
              <w:rPr>
                <w:rFonts w:ascii="Arial Narrow" w:hAnsi="Arial Narrow" w:cs="Arial"/>
                <w:lang w:val="es-MX"/>
              </w:rPr>
              <w:t xml:space="preserve"> la presunta violación a los derechos colectivos alegados por el demandante, corresponde a un tercero ajeno a la Superintendencia de Notariado y Registro, en este caso, el demandado Cementos Argos, en lo que respecta con la inscripción del título y solicitud de englobe de los predios cuestionados por el accionante. </w:t>
            </w:r>
          </w:p>
          <w:p w14:paraId="57708C47" w14:textId="69B8186D" w:rsidR="002E3542" w:rsidRPr="001C1CF2" w:rsidRDefault="002E3542" w:rsidP="002E3542">
            <w:pPr>
              <w:ind w:right="130"/>
              <w:jc w:val="both"/>
              <w:rPr>
                <w:rFonts w:ascii="Arial Narrow" w:hAnsi="Arial Narrow" w:cs="Arial"/>
              </w:rPr>
            </w:pPr>
            <w:r w:rsidRPr="00725FBC">
              <w:rPr>
                <w:rFonts w:ascii="Arial Narrow" w:hAnsi="Arial Narrow"/>
                <w:lang w:val="es-ES"/>
              </w:rPr>
              <w:t xml:space="preserve">De vieja data según jurisprudencia del Consejo de Estado “el hecho de un tercero exonera de responsabilidad a la administración en el derecho administrativo colombiano, siempre y cuando se demuestre </w:t>
            </w:r>
            <w:r w:rsidRPr="00725FBC">
              <w:rPr>
                <w:rFonts w:ascii="Arial Narrow" w:hAnsi="Arial Narrow"/>
                <w:u w:val="single"/>
                <w:lang w:val="es-ES"/>
              </w:rPr>
              <w:t>que dicho tercero es completamente ajeno al servicio, y que su actuación no vincula de manera alguna a este último, produciéndose claramente la ruptura del nexo causal</w:t>
            </w:r>
            <w:r w:rsidRPr="00725FBC">
              <w:rPr>
                <w:rFonts w:ascii="Arial Narrow" w:hAnsi="Arial Narrow"/>
                <w:lang w:val="es-ES"/>
              </w:rPr>
              <w:t>”</w:t>
            </w:r>
            <w:r w:rsidRPr="00725FBC">
              <w:rPr>
                <w:rStyle w:val="Refdenotaalpie"/>
                <w:rFonts w:ascii="Arial Narrow" w:hAnsi="Arial Narrow"/>
                <w:lang w:val="es-ES"/>
              </w:rPr>
              <w:footnoteReference w:id="7"/>
            </w:r>
            <w:r w:rsidRPr="00725FBC">
              <w:rPr>
                <w:rFonts w:ascii="Arial Narrow" w:hAnsi="Arial Narrow"/>
                <w:lang w:val="es-ES"/>
              </w:rPr>
              <w:t>(resaltado fuera del texto).</w:t>
            </w:r>
          </w:p>
          <w:p w14:paraId="633C954E" w14:textId="77777777" w:rsidR="005805F1" w:rsidRPr="001C1CF2" w:rsidRDefault="005805F1" w:rsidP="00066F28">
            <w:pPr>
              <w:tabs>
                <w:tab w:val="left" w:pos="7513"/>
              </w:tabs>
              <w:jc w:val="both"/>
              <w:rPr>
                <w:rFonts w:ascii="Arial Narrow" w:hAnsi="Arial Narrow" w:cs="Arial"/>
              </w:rPr>
            </w:pPr>
          </w:p>
          <w:p w14:paraId="2638C4A7" w14:textId="77777777" w:rsidR="005805F1" w:rsidRPr="001C1CF2" w:rsidRDefault="005805F1" w:rsidP="00066F28">
            <w:pPr>
              <w:tabs>
                <w:tab w:val="left" w:pos="7513"/>
              </w:tabs>
              <w:ind w:left="360"/>
              <w:jc w:val="both"/>
              <w:rPr>
                <w:rFonts w:ascii="Arial Narrow" w:hAnsi="Arial Narrow" w:cs="Arial"/>
              </w:rPr>
            </w:pPr>
            <w:r w:rsidRPr="001C1CF2">
              <w:rPr>
                <w:rFonts w:ascii="Arial Narrow" w:hAnsi="Arial Narrow" w:cs="Arial"/>
              </w:rPr>
              <w:t>9. Recomendaciones</w:t>
            </w:r>
          </w:p>
          <w:p w14:paraId="6ADD030C" w14:textId="77777777" w:rsidR="005805F1" w:rsidRPr="001C1CF2" w:rsidRDefault="005805F1" w:rsidP="00066F28">
            <w:pPr>
              <w:tabs>
                <w:tab w:val="left" w:pos="7513"/>
              </w:tabs>
              <w:jc w:val="both"/>
              <w:rPr>
                <w:rFonts w:ascii="Arial Narrow" w:hAnsi="Arial Narrow" w:cs="Arial"/>
              </w:rPr>
            </w:pPr>
          </w:p>
          <w:p w14:paraId="3BCACF08" w14:textId="77777777" w:rsidR="005805F1" w:rsidRPr="001C1CF2" w:rsidRDefault="005805F1" w:rsidP="00066F28">
            <w:pPr>
              <w:contextualSpacing/>
              <w:jc w:val="both"/>
              <w:rPr>
                <w:rFonts w:ascii="Arial Narrow" w:hAnsi="Arial Narrow" w:cs="Arial"/>
              </w:rPr>
            </w:pPr>
            <w:r w:rsidRPr="001C1CF2">
              <w:rPr>
                <w:rFonts w:ascii="Arial Narrow" w:hAnsi="Arial Narrow" w:cs="Arial"/>
              </w:rPr>
              <w:t xml:space="preserve">De lo anteriormente expuesto se recomienda lo siguiente: </w:t>
            </w:r>
          </w:p>
          <w:p w14:paraId="6E75407E" w14:textId="77777777" w:rsidR="005805F1" w:rsidRPr="001C1CF2" w:rsidRDefault="005805F1" w:rsidP="00066F28">
            <w:pPr>
              <w:contextualSpacing/>
              <w:jc w:val="both"/>
              <w:rPr>
                <w:rFonts w:ascii="Arial Narrow" w:hAnsi="Arial Narrow" w:cs="Arial"/>
              </w:rPr>
            </w:pPr>
          </w:p>
          <w:p w14:paraId="233812C4" w14:textId="6BED16D2" w:rsidR="005805F1" w:rsidRPr="001C1CF2" w:rsidRDefault="005805F1" w:rsidP="00066F28">
            <w:pPr>
              <w:contextualSpacing/>
              <w:jc w:val="both"/>
              <w:rPr>
                <w:rFonts w:ascii="Arial Narrow" w:hAnsi="Arial Narrow" w:cs="Arial"/>
              </w:rPr>
            </w:pPr>
            <w:r w:rsidRPr="001C1CF2">
              <w:rPr>
                <w:rFonts w:ascii="Arial Narrow" w:hAnsi="Arial Narrow" w:cs="Arial"/>
              </w:rPr>
              <w:t xml:space="preserve">Recomendar al Comité NO aceptar las pretensiones del convocante, ni presentar fórmula de arreglo. </w:t>
            </w:r>
          </w:p>
          <w:p w14:paraId="3934BFBF" w14:textId="77777777" w:rsidR="005805F1" w:rsidRPr="001C1CF2" w:rsidRDefault="005805F1" w:rsidP="00066F28">
            <w:pPr>
              <w:contextualSpacing/>
              <w:jc w:val="both"/>
              <w:rPr>
                <w:rFonts w:ascii="Arial Narrow" w:hAnsi="Arial Narrow" w:cs="Arial"/>
              </w:rPr>
            </w:pPr>
          </w:p>
          <w:p w14:paraId="7C5B9C51" w14:textId="77777777" w:rsidR="005805F1" w:rsidRPr="001C1CF2" w:rsidRDefault="005805F1" w:rsidP="00066F28">
            <w:pPr>
              <w:contextualSpacing/>
              <w:jc w:val="both"/>
              <w:rPr>
                <w:rFonts w:ascii="Arial Narrow" w:hAnsi="Arial Narrow"/>
                <w:highlight w:val="yellow"/>
              </w:rPr>
            </w:pPr>
          </w:p>
          <w:p w14:paraId="6188D9E4" w14:textId="77777777" w:rsidR="005805F1" w:rsidRPr="001C1CF2" w:rsidRDefault="005805F1" w:rsidP="00066F28">
            <w:pPr>
              <w:tabs>
                <w:tab w:val="left" w:pos="7513"/>
              </w:tabs>
              <w:jc w:val="both"/>
              <w:rPr>
                <w:rFonts w:ascii="Arial Narrow" w:hAnsi="Arial Narrow" w:cs="Arial"/>
              </w:rPr>
            </w:pPr>
          </w:p>
          <w:p w14:paraId="5A1BF371"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____________________________</w:t>
            </w:r>
          </w:p>
          <w:p w14:paraId="7D571A4D" w14:textId="77777777" w:rsidR="005805F1" w:rsidRPr="001C1CF2" w:rsidRDefault="005805F1" w:rsidP="00066F28">
            <w:pPr>
              <w:tabs>
                <w:tab w:val="left" w:pos="7513"/>
              </w:tabs>
              <w:jc w:val="both"/>
              <w:rPr>
                <w:rFonts w:ascii="Arial Narrow" w:hAnsi="Arial Narrow" w:cs="Arial"/>
              </w:rPr>
            </w:pPr>
            <w:r w:rsidRPr="001C1CF2">
              <w:rPr>
                <w:rFonts w:ascii="Arial Narrow" w:hAnsi="Arial Narrow" w:cs="Arial"/>
              </w:rPr>
              <w:t>GRÉGORY DE JESÚS TORREGROSA REBOLLEDO</w:t>
            </w:r>
          </w:p>
          <w:p w14:paraId="1198FD87" w14:textId="77777777" w:rsidR="005805F1" w:rsidRPr="001C1CF2" w:rsidRDefault="005805F1" w:rsidP="00066F28">
            <w:pPr>
              <w:tabs>
                <w:tab w:val="left" w:pos="7513"/>
              </w:tabs>
              <w:jc w:val="both"/>
              <w:rPr>
                <w:rFonts w:ascii="Arial Narrow" w:hAnsi="Arial Narrow" w:cs="Arial"/>
              </w:rPr>
            </w:pPr>
          </w:p>
        </w:tc>
      </w:tr>
      <w:tr w:rsidR="005805F1" w:rsidRPr="001C1CF2" w14:paraId="51E85E05" w14:textId="77777777" w:rsidTr="00796BB3">
        <w:trPr>
          <w:trHeight w:val="7620"/>
        </w:trPr>
        <w:tc>
          <w:tcPr>
            <w:tcW w:w="9782" w:type="dxa"/>
            <w:tcBorders>
              <w:top w:val="single" w:sz="4" w:space="0" w:color="auto"/>
              <w:left w:val="double" w:sz="4" w:space="0" w:color="auto"/>
              <w:bottom w:val="single" w:sz="4" w:space="0" w:color="auto"/>
              <w:right w:val="double" w:sz="4" w:space="0" w:color="auto"/>
            </w:tcBorders>
          </w:tcPr>
          <w:p w14:paraId="60A9171B" w14:textId="77777777" w:rsidR="005805F1" w:rsidRPr="001C1CF2" w:rsidRDefault="005805F1" w:rsidP="00066F28">
            <w:pPr>
              <w:tabs>
                <w:tab w:val="left" w:pos="7513"/>
              </w:tabs>
              <w:jc w:val="both"/>
              <w:rPr>
                <w:rFonts w:ascii="Arial Narrow" w:hAnsi="Arial Narrow" w:cs="Arial"/>
              </w:rPr>
            </w:pPr>
          </w:p>
        </w:tc>
      </w:tr>
    </w:tbl>
    <w:p w14:paraId="5A6BBF48" w14:textId="77777777" w:rsidR="005805F1" w:rsidRPr="001C1CF2" w:rsidRDefault="005805F1" w:rsidP="00066F28">
      <w:pPr>
        <w:jc w:val="both"/>
        <w:rPr>
          <w:rFonts w:ascii="Arial Narrow" w:hAnsi="Arial Narrow"/>
        </w:rPr>
      </w:pPr>
    </w:p>
    <w:p w14:paraId="1CD4EEC2" w14:textId="77777777" w:rsidR="00500B37" w:rsidRPr="001C1CF2" w:rsidRDefault="00500B37" w:rsidP="00066F28">
      <w:pPr>
        <w:jc w:val="both"/>
        <w:rPr>
          <w:rFonts w:ascii="Arial Narrow" w:hAnsi="Arial Narrow"/>
        </w:rPr>
      </w:pPr>
    </w:p>
    <w:sectPr w:rsidR="00500B37" w:rsidRPr="001C1CF2" w:rsidSect="00334052">
      <w:headerReference w:type="default" r:id="rId16"/>
      <w:footerReference w:type="default" r:id="rId17"/>
      <w:pgSz w:w="12242" w:h="15842" w:code="1"/>
      <w:pgMar w:top="1418" w:right="1701" w:bottom="1701"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BC6FF" w14:textId="77777777" w:rsidR="005805F1" w:rsidRDefault="005805F1" w:rsidP="005805F1">
      <w:r>
        <w:separator/>
      </w:r>
    </w:p>
  </w:endnote>
  <w:endnote w:type="continuationSeparator" w:id="0">
    <w:p w14:paraId="11511270" w14:textId="77777777" w:rsidR="005805F1" w:rsidRDefault="005805F1" w:rsidP="0058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mbolMT">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742C" w14:textId="77777777" w:rsidR="00334052" w:rsidRPr="00A942A9" w:rsidRDefault="000A0182" w:rsidP="0085491C">
    <w:pPr>
      <w:pStyle w:val="Piedepgina"/>
      <w:tabs>
        <w:tab w:val="left" w:pos="6096"/>
        <w:tab w:val="left" w:pos="8789"/>
      </w:tabs>
      <w:spacing w:line="276" w:lineRule="auto"/>
      <w:ind w:right="51"/>
      <w:jc w:val="right"/>
      <w:rPr>
        <w:rFonts w:ascii="Verdana" w:hAnsi="Verdana"/>
        <w:b/>
        <w:sz w:val="16"/>
        <w:szCs w:val="16"/>
      </w:rPr>
    </w:pPr>
    <w:r w:rsidRPr="00A942A9">
      <w:rPr>
        <w:rFonts w:ascii="Verdana" w:hAnsi="Verdana"/>
        <w:b/>
        <w:sz w:val="16"/>
        <w:szCs w:val="16"/>
      </w:rPr>
      <w:t xml:space="preserve">Pág. No. </w:t>
    </w:r>
    <w:r w:rsidRPr="00A942A9">
      <w:rPr>
        <w:rFonts w:ascii="Verdana" w:hAnsi="Verdana"/>
        <w:b/>
        <w:sz w:val="16"/>
        <w:szCs w:val="16"/>
      </w:rPr>
      <w:fldChar w:fldCharType="begin"/>
    </w:r>
    <w:r w:rsidRPr="00A942A9">
      <w:rPr>
        <w:rFonts w:ascii="Verdana" w:hAnsi="Verdana"/>
        <w:b/>
        <w:sz w:val="16"/>
        <w:szCs w:val="16"/>
      </w:rPr>
      <w:instrText xml:space="preserve"> PAGE   \* MERGEFORMAT </w:instrText>
    </w:r>
    <w:r w:rsidRPr="00A942A9">
      <w:rPr>
        <w:rFonts w:ascii="Verdana" w:hAnsi="Verdana"/>
        <w:b/>
        <w:sz w:val="16"/>
        <w:szCs w:val="16"/>
      </w:rPr>
      <w:fldChar w:fldCharType="separate"/>
    </w:r>
    <w:r w:rsidRPr="00A942A9">
      <w:rPr>
        <w:rFonts w:ascii="Verdana" w:hAnsi="Verdana"/>
        <w:b/>
        <w:sz w:val="16"/>
        <w:szCs w:val="16"/>
      </w:rPr>
      <w:t>6</w:t>
    </w:r>
    <w:r w:rsidRPr="00A942A9">
      <w:rPr>
        <w:rFonts w:ascii="Verdana" w:hAnsi="Verdana"/>
        <w:b/>
        <w:sz w:val="16"/>
        <w:szCs w:val="16"/>
      </w:rPr>
      <w:fldChar w:fldCharType="end"/>
    </w:r>
  </w:p>
  <w:p w14:paraId="55D2AEA0" w14:textId="77777777" w:rsidR="00334052" w:rsidRPr="00A942A9" w:rsidRDefault="000A0182" w:rsidP="0085491C">
    <w:pPr>
      <w:pStyle w:val="Piedepgina"/>
      <w:tabs>
        <w:tab w:val="left" w:pos="6096"/>
        <w:tab w:val="left" w:pos="8789"/>
      </w:tabs>
      <w:spacing w:line="276" w:lineRule="auto"/>
      <w:ind w:right="51"/>
      <w:jc w:val="right"/>
      <w:rPr>
        <w:b/>
        <w:szCs w:val="16"/>
      </w:rPr>
    </w:pPr>
    <w:r w:rsidRPr="00A942A9">
      <w:rPr>
        <w:noProof/>
        <w:lang w:eastAsia="es-CO"/>
      </w:rPr>
      <w:drawing>
        <wp:anchor distT="0" distB="0" distL="114300" distR="114300" simplePos="0" relativeHeight="251668480" behindDoc="0" locked="0" layoutInCell="1" allowOverlap="1" wp14:anchorId="695EFC18" wp14:editId="7BFA1F5F">
          <wp:simplePos x="0" y="0"/>
          <wp:positionH relativeFrom="column">
            <wp:posOffset>406400</wp:posOffset>
          </wp:positionH>
          <wp:positionV relativeFrom="paragraph">
            <wp:posOffset>8771255</wp:posOffset>
          </wp:positionV>
          <wp:extent cx="1649095" cy="863600"/>
          <wp:effectExtent l="0" t="0" r="0" b="0"/>
          <wp:wrapNone/>
          <wp:docPr id="1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w:drawing>
        <wp:anchor distT="0" distB="0" distL="114300" distR="114300" simplePos="0" relativeHeight="251667456" behindDoc="0" locked="0" layoutInCell="1" allowOverlap="1" wp14:anchorId="45928CFA" wp14:editId="22372A44">
          <wp:simplePos x="0" y="0"/>
          <wp:positionH relativeFrom="column">
            <wp:posOffset>406400</wp:posOffset>
          </wp:positionH>
          <wp:positionV relativeFrom="paragraph">
            <wp:posOffset>8771255</wp:posOffset>
          </wp:positionV>
          <wp:extent cx="1649095" cy="863600"/>
          <wp:effectExtent l="0" t="0" r="0" b="0"/>
          <wp:wrapNone/>
          <wp:docPr id="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w:drawing>
        <wp:anchor distT="0" distB="0" distL="114300" distR="114300" simplePos="0" relativeHeight="251666432" behindDoc="0" locked="0" layoutInCell="1" allowOverlap="1" wp14:anchorId="395D2535" wp14:editId="45692610">
          <wp:simplePos x="0" y="0"/>
          <wp:positionH relativeFrom="column">
            <wp:posOffset>406400</wp:posOffset>
          </wp:positionH>
          <wp:positionV relativeFrom="paragraph">
            <wp:posOffset>8771255</wp:posOffset>
          </wp:positionV>
          <wp:extent cx="1649095" cy="863600"/>
          <wp:effectExtent l="0" t="0" r="0" b="0"/>
          <wp:wrapNone/>
          <wp:docPr id="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w:drawing>
        <wp:anchor distT="0" distB="0" distL="114300" distR="114300" simplePos="0" relativeHeight="251665408" behindDoc="0" locked="0" layoutInCell="1" allowOverlap="1" wp14:anchorId="6DE61C69" wp14:editId="2FDCD7DD">
          <wp:simplePos x="0" y="0"/>
          <wp:positionH relativeFrom="column">
            <wp:posOffset>406400</wp:posOffset>
          </wp:positionH>
          <wp:positionV relativeFrom="paragraph">
            <wp:posOffset>8771255</wp:posOffset>
          </wp:positionV>
          <wp:extent cx="1649095" cy="863600"/>
          <wp:effectExtent l="0" t="0" r="0" b="0"/>
          <wp:wrapNone/>
          <wp:docPr id="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w:drawing>
        <wp:anchor distT="0" distB="0" distL="114300" distR="114300" simplePos="0" relativeHeight="251664384" behindDoc="0" locked="0" layoutInCell="1" allowOverlap="1" wp14:anchorId="46520C88" wp14:editId="54B78FAD">
          <wp:simplePos x="0" y="0"/>
          <wp:positionH relativeFrom="column">
            <wp:posOffset>406400</wp:posOffset>
          </wp:positionH>
          <wp:positionV relativeFrom="paragraph">
            <wp:posOffset>8771255</wp:posOffset>
          </wp:positionV>
          <wp:extent cx="1649095" cy="863600"/>
          <wp:effectExtent l="0" t="0" r="0" b="0"/>
          <wp:wrapNone/>
          <wp:docPr id="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w:drawing>
        <wp:anchor distT="0" distB="0" distL="114300" distR="114300" simplePos="0" relativeHeight="251662336" behindDoc="0" locked="0" layoutInCell="1" allowOverlap="1" wp14:anchorId="210FCA9F" wp14:editId="75DD0961">
          <wp:simplePos x="0" y="0"/>
          <wp:positionH relativeFrom="column">
            <wp:posOffset>406400</wp:posOffset>
          </wp:positionH>
          <wp:positionV relativeFrom="paragraph">
            <wp:posOffset>8768715</wp:posOffset>
          </wp:positionV>
          <wp:extent cx="1649095" cy="86360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w:drawing>
        <wp:anchor distT="0" distB="0" distL="114300" distR="114300" simplePos="0" relativeHeight="251661312" behindDoc="0" locked="0" layoutInCell="1" allowOverlap="1" wp14:anchorId="3BBDC35A" wp14:editId="79FC29EF">
          <wp:simplePos x="0" y="0"/>
          <wp:positionH relativeFrom="column">
            <wp:posOffset>406400</wp:posOffset>
          </wp:positionH>
          <wp:positionV relativeFrom="paragraph">
            <wp:posOffset>8768715</wp:posOffset>
          </wp:positionV>
          <wp:extent cx="1649095" cy="86360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w:drawing>
        <wp:anchor distT="0" distB="0" distL="114300" distR="114300" simplePos="0" relativeHeight="251659264" behindDoc="0" locked="0" layoutInCell="1" allowOverlap="1" wp14:anchorId="59E1B8A6" wp14:editId="437597D7">
          <wp:simplePos x="0" y="0"/>
          <wp:positionH relativeFrom="column">
            <wp:posOffset>406400</wp:posOffset>
          </wp:positionH>
          <wp:positionV relativeFrom="paragraph">
            <wp:posOffset>8768715</wp:posOffset>
          </wp:positionV>
          <wp:extent cx="1649095" cy="863600"/>
          <wp:effectExtent l="0" t="0" r="0" b="0"/>
          <wp:wrapNone/>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2A9">
      <w:rPr>
        <w:noProof/>
        <w:lang w:eastAsia="es-CO"/>
      </w:rPr>
      <mc:AlternateContent>
        <mc:Choice Requires="wps">
          <w:drawing>
            <wp:anchor distT="0" distB="0" distL="114300" distR="114300" simplePos="0" relativeHeight="251660288" behindDoc="0" locked="0" layoutInCell="1" allowOverlap="1" wp14:anchorId="114EDD4A" wp14:editId="198C0C9E">
              <wp:simplePos x="0" y="0"/>
              <wp:positionH relativeFrom="column">
                <wp:posOffset>2279650</wp:posOffset>
              </wp:positionH>
              <wp:positionV relativeFrom="paragraph">
                <wp:posOffset>8849995</wp:posOffset>
              </wp:positionV>
              <wp:extent cx="2901315" cy="675640"/>
              <wp:effectExtent l="0" t="0" r="0" b="0"/>
              <wp:wrapNone/>
              <wp:docPr id="46"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675640"/>
                      </a:xfrm>
                      <a:prstGeom prst="rect">
                        <a:avLst/>
                      </a:prstGeom>
                      <a:noFill/>
                      <a:ln w="9525">
                        <a:noFill/>
                        <a:miter lim="800000"/>
                        <a:headEnd/>
                        <a:tailEnd/>
                      </a:ln>
                    </wps:spPr>
                    <wps:txbx>
                      <w:txbxContent>
                        <w:p w14:paraId="549561DE" w14:textId="77777777" w:rsidR="00334052" w:rsidRPr="00A942A9" w:rsidRDefault="000A0182" w:rsidP="0085491C">
                          <w:pPr>
                            <w:rPr>
                              <w:sz w:val="20"/>
                              <w:szCs w:val="20"/>
                            </w:rPr>
                          </w:pPr>
                          <w:r w:rsidRPr="00A942A9">
                            <w:rPr>
                              <w:rFonts w:ascii="Arial" w:hAnsi="Arial" w:cs="Arial"/>
                              <w:b/>
                              <w:color w:val="000000"/>
                              <w:sz w:val="20"/>
                              <w:szCs w:val="20"/>
                            </w:rPr>
                            <w:t xml:space="preserve">Superintendencia de </w:t>
                          </w:r>
                          <w:r w:rsidRPr="00A942A9">
                            <w:rPr>
                              <w:rFonts w:ascii="Arial" w:hAnsi="Arial" w:cs="Arial"/>
                              <w:b/>
                              <w:color w:val="000000"/>
                              <w:sz w:val="20"/>
                              <w:szCs w:val="20"/>
                            </w:rPr>
                            <w:t>Notariado y Registro</w:t>
                          </w:r>
                          <w:r w:rsidRPr="00A942A9">
                            <w:rPr>
                              <w:rFonts w:ascii="Arial" w:hAnsi="Arial" w:cs="Arial"/>
                              <w:b/>
                              <w:color w:val="000000"/>
                              <w:sz w:val="20"/>
                              <w:szCs w:val="20"/>
                            </w:rPr>
                            <w:br/>
                          </w:r>
                          <w:r w:rsidRPr="00A942A9">
                            <w:rPr>
                              <w:rFonts w:ascii="Arial" w:hAnsi="Arial" w:cs="Arial"/>
                              <w:color w:val="000000"/>
                              <w:sz w:val="20"/>
                              <w:szCs w:val="20"/>
                            </w:rPr>
                            <w:t xml:space="preserve">Calle 26 No. 13-49 Int. 201 </w:t>
                          </w:r>
                          <w:r w:rsidRPr="00A942A9">
                            <w:rPr>
                              <w:rFonts w:ascii="Arial" w:hAnsi="Arial" w:cs="Arial"/>
                              <w:color w:val="000000"/>
                              <w:sz w:val="20"/>
                              <w:szCs w:val="20"/>
                            </w:rPr>
                            <w:br/>
                            <w:t>PBX (1) 3 28-21- 21 Bogotá D.C.  –  Colombia</w:t>
                          </w:r>
                          <w:r w:rsidRPr="00A942A9">
                            <w:rPr>
                              <w:rFonts w:ascii="Arial" w:hAnsi="Arial" w:cs="Arial"/>
                              <w:color w:val="000000"/>
                              <w:sz w:val="20"/>
                              <w:szCs w:val="20"/>
                            </w:rPr>
                            <w:br/>
                          </w:r>
                          <w:hyperlink r:id="rId2" w:history="1">
                            <w:r w:rsidRPr="00A942A9">
                              <w:rPr>
                                <w:rFonts w:ascii="Arial" w:hAnsi="Arial" w:cs="Arial"/>
                                <w:sz w:val="20"/>
                                <w:szCs w:val="20"/>
                              </w:rPr>
                              <w:t>www.supernotariado.gov.co</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4EDD4A" id="_x0000_t202" coordsize="21600,21600" o:spt="202" path="m,l,21600r21600,l21600,xe">
              <v:stroke joinstyle="miter"/>
              <v:path gradientshapeok="t" o:connecttype="rect"/>
            </v:shapetype>
            <v:shape id="Cuadro de texto 307" o:spid="_x0000_s1026" type="#_x0000_t202" style="position:absolute;left:0;text-align:left;margin-left:179.5pt;margin-top:696.85pt;width:228.45pt;height:53.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" filled="f" stroked="f">
              <v:textbox style="mso-fit-shape-to-text:t">
                <w:txbxContent>
                  <w:p w14:paraId="549561DE" w14:textId="77777777" w:rsidR="00334052" w:rsidRPr="00A942A9" w:rsidRDefault="000A0182" w:rsidP="0085491C">
                    <w:pPr>
                      <w:rPr>
                        <w:sz w:val="20"/>
                        <w:szCs w:val="20"/>
                      </w:rPr>
                    </w:pPr>
                    <w:r w:rsidRPr="00A942A9">
                      <w:rPr>
                        <w:rFonts w:ascii="Arial" w:hAnsi="Arial" w:cs="Arial"/>
                        <w:b/>
                        <w:color w:val="000000"/>
                        <w:sz w:val="20"/>
                        <w:szCs w:val="20"/>
                      </w:rPr>
                      <w:t xml:space="preserve">Superintendencia de </w:t>
                    </w:r>
                    <w:r w:rsidRPr="00A942A9">
                      <w:rPr>
                        <w:rFonts w:ascii="Arial" w:hAnsi="Arial" w:cs="Arial"/>
                        <w:b/>
                        <w:color w:val="000000"/>
                        <w:sz w:val="20"/>
                        <w:szCs w:val="20"/>
                      </w:rPr>
                      <w:t>Notariado y Registro</w:t>
                    </w:r>
                    <w:r w:rsidRPr="00A942A9">
                      <w:rPr>
                        <w:rFonts w:ascii="Arial" w:hAnsi="Arial" w:cs="Arial"/>
                        <w:b/>
                        <w:color w:val="000000"/>
                        <w:sz w:val="20"/>
                        <w:szCs w:val="20"/>
                      </w:rPr>
                      <w:br/>
                    </w:r>
                    <w:r w:rsidRPr="00A942A9">
                      <w:rPr>
                        <w:rFonts w:ascii="Arial" w:hAnsi="Arial" w:cs="Arial"/>
                        <w:color w:val="000000"/>
                        <w:sz w:val="20"/>
                        <w:szCs w:val="20"/>
                      </w:rPr>
                      <w:t xml:space="preserve">Calle 26 No. 13-49 Int. 201 </w:t>
                    </w:r>
                    <w:r w:rsidRPr="00A942A9">
                      <w:rPr>
                        <w:rFonts w:ascii="Arial" w:hAnsi="Arial" w:cs="Arial"/>
                        <w:color w:val="000000"/>
                        <w:sz w:val="20"/>
                        <w:szCs w:val="20"/>
                      </w:rPr>
                      <w:br/>
                      <w:t>PBX (1) 3 28-21- 21 Bogotá D.C.  –  Colombia</w:t>
                    </w:r>
                    <w:r w:rsidRPr="00A942A9">
                      <w:rPr>
                        <w:rFonts w:ascii="Arial" w:hAnsi="Arial" w:cs="Arial"/>
                        <w:color w:val="000000"/>
                        <w:sz w:val="20"/>
                        <w:szCs w:val="20"/>
                      </w:rPr>
                      <w:br/>
                    </w:r>
                    <w:hyperlink r:id="rId3" w:history="1">
                      <w:r w:rsidRPr="00A942A9">
                        <w:rPr>
                          <w:rFonts w:ascii="Arial" w:hAnsi="Arial" w:cs="Arial"/>
                          <w:sz w:val="20"/>
                          <w:szCs w:val="20"/>
                        </w:rPr>
                        <w:t>www.supernotariado.gov.co</w:t>
                      </w:r>
                    </w:hyperlink>
                  </w:p>
                </w:txbxContent>
              </v:textbox>
            </v:shape>
          </w:pict>
        </mc:Fallback>
      </mc:AlternateContent>
    </w:r>
    <w:r w:rsidRPr="00A942A9">
      <w:rPr>
        <w:noProof/>
        <w:lang w:eastAsia="es-CO"/>
      </w:rPr>
      <w:drawing>
        <wp:anchor distT="0" distB="0" distL="114300" distR="114300" simplePos="0" relativeHeight="251663360" behindDoc="0" locked="0" layoutInCell="1" allowOverlap="1" wp14:anchorId="2CCCCDBC" wp14:editId="47FD71F3">
          <wp:simplePos x="0" y="0"/>
          <wp:positionH relativeFrom="column">
            <wp:posOffset>406400</wp:posOffset>
          </wp:positionH>
          <wp:positionV relativeFrom="paragraph">
            <wp:posOffset>8768715</wp:posOffset>
          </wp:positionV>
          <wp:extent cx="1649095" cy="863600"/>
          <wp:effectExtent l="0" t="0" r="0" b="0"/>
          <wp:wrapNone/>
          <wp:docPr id="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02FF8" w14:textId="77777777" w:rsidR="005805F1" w:rsidRDefault="005805F1" w:rsidP="005805F1">
      <w:r>
        <w:separator/>
      </w:r>
    </w:p>
  </w:footnote>
  <w:footnote w:type="continuationSeparator" w:id="0">
    <w:p w14:paraId="612D1E34" w14:textId="77777777" w:rsidR="005805F1" w:rsidRDefault="005805F1" w:rsidP="005805F1">
      <w:r>
        <w:continuationSeparator/>
      </w:r>
    </w:p>
  </w:footnote>
  <w:footnote w:id="1">
    <w:p w14:paraId="568E057B" w14:textId="77777777" w:rsidR="002E3542" w:rsidRPr="004276C5" w:rsidRDefault="002E3542" w:rsidP="002E3542">
      <w:pPr>
        <w:pStyle w:val="Textonotapie"/>
        <w:jc w:val="both"/>
        <w:rPr>
          <w:rFonts w:ascii="Arial" w:hAnsi="Arial" w:cs="Arial"/>
          <w:i/>
          <w:iCs/>
          <w:sz w:val="16"/>
          <w:szCs w:val="16"/>
        </w:rPr>
      </w:pPr>
      <w:r w:rsidRPr="004276C5">
        <w:rPr>
          <w:rStyle w:val="Refdenotaalpie"/>
          <w:rFonts w:ascii="Arial" w:hAnsi="Arial" w:cs="Arial"/>
          <w:i/>
          <w:iCs/>
          <w:sz w:val="16"/>
          <w:szCs w:val="16"/>
        </w:rPr>
        <w:footnoteRef/>
      </w:r>
      <w:r w:rsidRPr="004276C5">
        <w:rPr>
          <w:rFonts w:ascii="Arial" w:hAnsi="Arial" w:cs="Arial"/>
          <w:i/>
          <w:iCs/>
          <w:sz w:val="16"/>
          <w:szCs w:val="16"/>
        </w:rPr>
        <w:t xml:space="preserve"> </w:t>
      </w:r>
      <w:r w:rsidRPr="004276C5">
        <w:rPr>
          <w:rFonts w:ascii="Arial" w:hAnsi="Arial" w:cs="Arial"/>
          <w:i/>
          <w:iCs/>
          <w:sz w:val="16"/>
          <w:szCs w:val="16"/>
          <w:lang w:val="es-ES_tradnl"/>
        </w:rPr>
        <w:t>Tribunal Administrativo de Cundinamarca, Sección Tercera, Subsección A, Bogotá D.C., agosto 1º de 2019, M.P. Juan Carlos Garzón Martínez</w:t>
      </w:r>
    </w:p>
  </w:footnote>
  <w:footnote w:id="2">
    <w:p w14:paraId="21753180" w14:textId="77777777" w:rsidR="002E3542" w:rsidRPr="00983CDB" w:rsidRDefault="002E3542" w:rsidP="002E35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es-ES_tradnl"/>
        </w:rPr>
      </w:pPr>
      <w:r w:rsidRPr="004276C5">
        <w:rPr>
          <w:rStyle w:val="Refdenotaalpie"/>
          <w:rFonts w:ascii="Arial" w:hAnsi="Arial" w:cs="Arial"/>
          <w:i/>
          <w:iCs/>
          <w:sz w:val="16"/>
          <w:szCs w:val="16"/>
          <w:lang w:val="es-ES_tradnl"/>
        </w:rPr>
        <w:footnoteRef/>
      </w:r>
      <w:r w:rsidRPr="004276C5">
        <w:rPr>
          <w:rStyle w:val="Refdenotaalpie"/>
          <w:rFonts w:ascii="Arial" w:hAnsi="Arial" w:cs="Arial"/>
          <w:i/>
          <w:iCs/>
          <w:sz w:val="16"/>
          <w:szCs w:val="16"/>
          <w:lang w:val="es-ES_tradnl"/>
        </w:rPr>
        <w:t xml:space="preserve"> </w:t>
      </w:r>
      <w:r w:rsidRPr="004276C5">
        <w:rPr>
          <w:rFonts w:ascii="Arial" w:hAnsi="Arial" w:cs="Arial"/>
          <w:i/>
          <w:iCs/>
          <w:sz w:val="16"/>
          <w:szCs w:val="16"/>
          <w:lang w:val="es-ES_tradnl"/>
        </w:rPr>
        <w:t xml:space="preserve">Cita textual: </w:t>
      </w:r>
      <w:r w:rsidRPr="004276C5">
        <w:rPr>
          <w:rFonts w:ascii="Arial" w:hAnsi="Arial" w:cs="Arial"/>
          <w:i/>
          <w:iCs/>
          <w:sz w:val="16"/>
          <w:szCs w:val="16"/>
        </w:rPr>
        <w:t>VELÁSQUEZ JARAMILLO, Luis Guillermo; Bienes, Editorial Temis, Bogotá, Novena edición, 2004, p. 309.</w:t>
      </w:r>
    </w:p>
  </w:footnote>
  <w:footnote w:id="3">
    <w:p w14:paraId="27F8D1F8" w14:textId="77777777" w:rsidR="002E3542" w:rsidRPr="004276C5" w:rsidRDefault="002E3542" w:rsidP="002E35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iCs/>
          <w:sz w:val="16"/>
          <w:szCs w:val="16"/>
        </w:rPr>
      </w:pPr>
      <w:r w:rsidRPr="004276C5">
        <w:rPr>
          <w:rStyle w:val="Refdenotaalpie"/>
          <w:rFonts w:ascii="Arial" w:hAnsi="Arial" w:cs="Arial"/>
          <w:i/>
          <w:iCs/>
          <w:sz w:val="16"/>
          <w:szCs w:val="16"/>
        </w:rPr>
        <w:footnoteRef/>
      </w:r>
      <w:r w:rsidRPr="004276C5">
        <w:rPr>
          <w:rFonts w:ascii="Arial" w:hAnsi="Arial" w:cs="Arial"/>
          <w:i/>
          <w:iCs/>
          <w:sz w:val="16"/>
          <w:szCs w:val="16"/>
        </w:rPr>
        <w:t xml:space="preserve"> Cita textual: Consejo de Estado, Sección Tercera, sentencia del</w:t>
      </w:r>
      <w:r w:rsidRPr="004276C5">
        <w:rPr>
          <w:rFonts w:ascii="Arial" w:hAnsi="Arial" w:cs="Arial"/>
          <w:i/>
          <w:iCs/>
          <w:sz w:val="16"/>
          <w:szCs w:val="16"/>
          <w:lang w:val="es-ES_tradnl"/>
        </w:rPr>
        <w:t xml:space="preserve"> 3 de agosto de 2006, Exp. 15704, C.P. Ramiro Saavedra Becerra.</w:t>
      </w:r>
    </w:p>
  </w:footnote>
  <w:footnote w:id="4">
    <w:p w14:paraId="0F9BE21A" w14:textId="77777777" w:rsidR="002E3542" w:rsidRPr="004276C5" w:rsidRDefault="002E3542" w:rsidP="002E3542">
      <w:pPr>
        <w:pStyle w:val="Textonotapie"/>
        <w:jc w:val="both"/>
        <w:rPr>
          <w:rFonts w:ascii="Arial" w:hAnsi="Arial" w:cs="Arial"/>
          <w:i/>
          <w:iCs/>
          <w:sz w:val="16"/>
          <w:szCs w:val="16"/>
        </w:rPr>
      </w:pPr>
      <w:r w:rsidRPr="004276C5">
        <w:rPr>
          <w:rStyle w:val="Refdenotaalpie"/>
          <w:rFonts w:ascii="Arial" w:hAnsi="Arial" w:cs="Arial"/>
          <w:i/>
          <w:iCs/>
          <w:sz w:val="16"/>
          <w:szCs w:val="16"/>
        </w:rPr>
        <w:footnoteRef/>
      </w:r>
      <w:r w:rsidRPr="004276C5">
        <w:rPr>
          <w:rFonts w:ascii="Arial" w:hAnsi="Arial" w:cs="Arial"/>
          <w:i/>
          <w:iCs/>
          <w:sz w:val="16"/>
          <w:szCs w:val="16"/>
        </w:rPr>
        <w:t xml:space="preserve"> Cita textual: Consejo de Estado, Sección Tercera, </w:t>
      </w:r>
      <w:r w:rsidRPr="004276C5">
        <w:rPr>
          <w:rFonts w:ascii="Arial" w:hAnsi="Arial" w:cs="Arial"/>
          <w:i/>
          <w:iCs/>
          <w:sz w:val="16"/>
          <w:szCs w:val="16"/>
          <w:lang w:val="es-ES_tradnl"/>
        </w:rPr>
        <w:t>sentencia de abril 18 de 2002, Exp. 13932, C.P. Ricardo Hoyos Duque.</w:t>
      </w:r>
      <w:r w:rsidRPr="004276C5">
        <w:rPr>
          <w:rFonts w:ascii="Arial" w:hAnsi="Arial" w:cs="Arial"/>
          <w:i/>
          <w:iCs/>
          <w:sz w:val="16"/>
          <w:szCs w:val="16"/>
        </w:rPr>
        <w:t xml:space="preserve"> </w:t>
      </w:r>
    </w:p>
  </w:footnote>
  <w:footnote w:id="5">
    <w:p w14:paraId="6A3DAC1A" w14:textId="77777777" w:rsidR="002E3542" w:rsidRPr="004276C5" w:rsidRDefault="002E3542" w:rsidP="002E3542">
      <w:pPr>
        <w:pStyle w:val="Textonotapie"/>
        <w:jc w:val="both"/>
        <w:rPr>
          <w:rFonts w:ascii="Arial" w:hAnsi="Arial" w:cs="Arial"/>
          <w:i/>
          <w:iCs/>
          <w:sz w:val="16"/>
          <w:szCs w:val="16"/>
        </w:rPr>
      </w:pPr>
      <w:r w:rsidRPr="004276C5">
        <w:rPr>
          <w:rStyle w:val="Refdenotaalpie"/>
          <w:rFonts w:ascii="Arial" w:hAnsi="Arial" w:cs="Arial"/>
          <w:i/>
          <w:iCs/>
          <w:sz w:val="16"/>
          <w:szCs w:val="16"/>
        </w:rPr>
        <w:footnoteRef/>
      </w:r>
      <w:r w:rsidRPr="004276C5">
        <w:rPr>
          <w:rFonts w:ascii="Arial" w:hAnsi="Arial" w:cs="Arial"/>
          <w:i/>
          <w:iCs/>
          <w:sz w:val="16"/>
          <w:szCs w:val="16"/>
        </w:rPr>
        <w:t xml:space="preserve"> Consejo de Estado, Sección Tercera, sentencia del 14 de abril de 2010, Exp. 16.744. Ver, también, Consejo de Estado, Sección Tercera, Subsección A, sentencia del 2 de mayo de 2013, Exp. 26829.</w:t>
      </w:r>
    </w:p>
  </w:footnote>
  <w:footnote w:id="6">
    <w:p w14:paraId="5B00452C" w14:textId="77777777" w:rsidR="002E3542" w:rsidRPr="00B634B2" w:rsidRDefault="002E3542" w:rsidP="002E3542">
      <w:pPr>
        <w:pStyle w:val="Prrafodelista"/>
        <w:tabs>
          <w:tab w:val="left" w:pos="284"/>
        </w:tabs>
        <w:ind w:left="0"/>
        <w:jc w:val="both"/>
        <w:rPr>
          <w:rFonts w:ascii="Arial" w:hAnsi="Arial" w:cs="Arial"/>
          <w:i/>
          <w:iCs/>
          <w:sz w:val="16"/>
          <w:szCs w:val="16"/>
        </w:rPr>
      </w:pPr>
      <w:r w:rsidRPr="00B634B2">
        <w:rPr>
          <w:rStyle w:val="Refdenotaalpie"/>
          <w:rFonts w:ascii="Arial" w:hAnsi="Arial" w:cs="Arial"/>
          <w:i/>
          <w:iCs/>
          <w:sz w:val="16"/>
          <w:szCs w:val="16"/>
        </w:rPr>
        <w:footnoteRef/>
      </w:r>
      <w:r w:rsidRPr="00B634B2">
        <w:rPr>
          <w:rFonts w:ascii="Arial" w:hAnsi="Arial" w:cs="Arial"/>
          <w:i/>
          <w:iCs/>
          <w:sz w:val="16"/>
          <w:szCs w:val="16"/>
        </w:rPr>
        <w:t xml:space="preserve"> </w:t>
      </w:r>
      <w:r w:rsidRPr="00B634B2">
        <w:rPr>
          <w:rFonts w:ascii="Arial" w:hAnsi="Arial" w:cs="Arial"/>
          <w:i/>
          <w:iCs/>
          <w:sz w:val="16"/>
          <w:szCs w:val="16"/>
          <w:shd w:val="clear" w:color="auto" w:fill="FFFFFF"/>
        </w:rPr>
        <w:t>(</w:t>
      </w:r>
      <w:r w:rsidRPr="00B634B2">
        <w:rPr>
          <w:rFonts w:ascii="Arial" w:hAnsi="Arial" w:cs="Arial"/>
          <w:i/>
          <w:iCs/>
          <w:sz w:val="16"/>
          <w:szCs w:val="16"/>
          <w:lang w:val="es-ES" w:eastAsia="es-ES"/>
        </w:rPr>
        <w:t>Consejo de Estado, Sala de lo Contencioso, Sección Tercera, siete (7) de marzo de dos mil doce (2012)</w:t>
      </w:r>
      <w:hyperlink r:id="rId1" w:tgtFrame="_blank" w:history="1">
        <w:r w:rsidRPr="00B634B2">
          <w:rPr>
            <w:rFonts w:ascii="Arial" w:hAnsi="Arial" w:cs="Arial"/>
            <w:i/>
            <w:iCs/>
            <w:sz w:val="16"/>
            <w:szCs w:val="16"/>
            <w:lang w:val="es-ES" w:eastAsia="es-ES"/>
          </w:rPr>
          <w:t>Radicación número: 25000-23-26-000-1996-03282-01(20042)</w:t>
        </w:r>
      </w:hyperlink>
      <w:r w:rsidRPr="00B634B2">
        <w:rPr>
          <w:rFonts w:ascii="Arial" w:hAnsi="Arial" w:cs="Arial"/>
          <w:i/>
          <w:iCs/>
          <w:sz w:val="16"/>
          <w:szCs w:val="16"/>
          <w:lang w:val="es-ES" w:eastAsia="es-ES"/>
        </w:rPr>
        <w:t>)</w:t>
      </w:r>
    </w:p>
    <w:p w14:paraId="346AA01F" w14:textId="77777777" w:rsidR="002E3542" w:rsidRPr="00781D33" w:rsidRDefault="002E3542" w:rsidP="002E3542">
      <w:pPr>
        <w:pStyle w:val="Textonotapie"/>
        <w:jc w:val="both"/>
        <w:rPr>
          <w:rFonts w:ascii="Arial" w:hAnsi="Arial"/>
          <w:sz w:val="18"/>
          <w:szCs w:val="18"/>
          <w:lang w:val="es-ES_tradnl"/>
        </w:rPr>
      </w:pPr>
    </w:p>
  </w:footnote>
  <w:footnote w:id="7">
    <w:p w14:paraId="798D97C1" w14:textId="77777777" w:rsidR="002E3542" w:rsidRPr="002C6CEF" w:rsidRDefault="002E3542" w:rsidP="002E3542">
      <w:pPr>
        <w:jc w:val="both"/>
        <w:rPr>
          <w:rFonts w:ascii="Arial Narrow" w:hAnsi="Arial Narrow"/>
          <w:sz w:val="20"/>
          <w:szCs w:val="20"/>
          <w:lang w:val="es-ES"/>
        </w:rPr>
      </w:pPr>
      <w:r w:rsidRPr="007C073B">
        <w:rPr>
          <w:rStyle w:val="Refdenotaalpie"/>
          <w:rFonts w:ascii="Arial Narrow" w:hAnsi="Arial Narrow"/>
          <w:sz w:val="20"/>
          <w:szCs w:val="20"/>
        </w:rPr>
        <w:footnoteRef/>
      </w:r>
      <w:r w:rsidRPr="007C073B">
        <w:rPr>
          <w:rFonts w:ascii="Arial Narrow" w:hAnsi="Arial Narrow"/>
          <w:sz w:val="20"/>
          <w:szCs w:val="20"/>
          <w:lang w:val="es-ES"/>
        </w:rPr>
        <w:t xml:space="preserve"> Consejo de Estado. Sala de lo Contencioso Administrativo. Sección Tercera. Sentencia del 4 de Agosto de 1989. </w:t>
      </w:r>
      <w:r w:rsidRPr="002C6CEF">
        <w:rPr>
          <w:rFonts w:ascii="Arial Narrow" w:hAnsi="Arial Narrow"/>
          <w:sz w:val="20"/>
          <w:szCs w:val="20"/>
          <w:lang w:val="es-ES"/>
        </w:rPr>
        <w:t xml:space="preserve">Expediente 5693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4366"/>
      <w:gridCol w:w="2834"/>
    </w:tblGrid>
    <w:tr w:rsidR="00334052" w:rsidRPr="00A942A9" w14:paraId="57AF91F1" w14:textId="77777777" w:rsidTr="0085491C">
      <w:trPr>
        <w:trHeight w:val="263"/>
      </w:trPr>
      <w:tc>
        <w:tcPr>
          <w:tcW w:w="2720" w:type="dxa"/>
          <w:vMerge w:val="restart"/>
          <w:tcBorders>
            <w:bottom w:val="single" w:sz="4" w:space="0" w:color="auto"/>
          </w:tcBorders>
        </w:tcPr>
        <w:p w14:paraId="63408755" w14:textId="77777777" w:rsidR="00334052" w:rsidRPr="00A942A9" w:rsidRDefault="000A0182" w:rsidP="0085491C">
          <w:pPr>
            <w:pStyle w:val="Piedepgina"/>
            <w:tabs>
              <w:tab w:val="left" w:pos="5940"/>
            </w:tabs>
            <w:jc w:val="right"/>
            <w:rPr>
              <w:rFonts w:ascii="Arial Narrow" w:hAnsi="Arial Narrow"/>
            </w:rPr>
          </w:pPr>
          <w:r w:rsidRPr="00A942A9">
            <w:rPr>
              <w:rFonts w:ascii="Arial Narrow" w:hAnsi="Arial Narrow"/>
              <w:noProof/>
              <w:lang w:eastAsia="es-CO"/>
            </w:rPr>
            <w:drawing>
              <wp:inline distT="0" distB="0" distL="0" distR="0" wp14:anchorId="2D40E05A" wp14:editId="2CEBB3D7">
                <wp:extent cx="1591945" cy="643255"/>
                <wp:effectExtent l="0" t="0" r="0" b="0"/>
                <wp:docPr id="2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945" cy="643255"/>
                        </a:xfrm>
                        <a:prstGeom prst="rect">
                          <a:avLst/>
                        </a:prstGeom>
                        <a:noFill/>
                        <a:ln>
                          <a:noFill/>
                        </a:ln>
                      </pic:spPr>
                    </pic:pic>
                  </a:graphicData>
                </a:graphic>
              </wp:inline>
            </w:drawing>
          </w:r>
        </w:p>
      </w:tc>
      <w:tc>
        <w:tcPr>
          <w:tcW w:w="4368" w:type="dxa"/>
          <w:tcBorders>
            <w:bottom w:val="single" w:sz="4" w:space="0" w:color="auto"/>
          </w:tcBorders>
          <w:vAlign w:val="center"/>
        </w:tcPr>
        <w:p w14:paraId="3D94AE89" w14:textId="77777777" w:rsidR="00334052" w:rsidRPr="00A942A9" w:rsidRDefault="000A0182" w:rsidP="0085491C">
          <w:pPr>
            <w:pStyle w:val="Piedepgina"/>
            <w:tabs>
              <w:tab w:val="left" w:pos="5940"/>
            </w:tabs>
            <w:jc w:val="center"/>
            <w:rPr>
              <w:rFonts w:ascii="Arial Narrow" w:hAnsi="Arial Narrow" w:cs="Arial"/>
              <w:b/>
            </w:rPr>
          </w:pPr>
          <w:r w:rsidRPr="00A942A9">
            <w:rPr>
              <w:rFonts w:ascii="Arial Narrow" w:hAnsi="Arial Narrow" w:cs="Arial"/>
              <w:b/>
            </w:rPr>
            <w:t>MACROPROCESO: GESTIÓN JURÍDICA</w:t>
          </w:r>
        </w:p>
      </w:tc>
      <w:tc>
        <w:tcPr>
          <w:tcW w:w="2835" w:type="dxa"/>
          <w:tcBorders>
            <w:bottom w:val="single" w:sz="4" w:space="0" w:color="auto"/>
          </w:tcBorders>
          <w:vAlign w:val="center"/>
        </w:tcPr>
        <w:p w14:paraId="0BF88268" w14:textId="77777777" w:rsidR="00334052" w:rsidRPr="00A942A9" w:rsidRDefault="000A0182" w:rsidP="0085491C">
          <w:pPr>
            <w:pStyle w:val="Piedepgina"/>
            <w:tabs>
              <w:tab w:val="left" w:pos="5940"/>
            </w:tabs>
            <w:rPr>
              <w:rFonts w:ascii="Arial Narrow" w:hAnsi="Arial Narrow" w:cs="Arial"/>
              <w:b/>
            </w:rPr>
          </w:pPr>
          <w:r w:rsidRPr="00A942A9">
            <w:rPr>
              <w:rFonts w:ascii="Arial Narrow" w:hAnsi="Arial Narrow" w:cs="Arial"/>
              <w:b/>
            </w:rPr>
            <w:t>CÓDIGO: GJ – AJ – FR - 03</w:t>
          </w:r>
        </w:p>
      </w:tc>
    </w:tr>
    <w:tr w:rsidR="00334052" w:rsidRPr="00A942A9" w14:paraId="20D2E9E8" w14:textId="77777777" w:rsidTr="0085491C">
      <w:trPr>
        <w:trHeight w:val="263"/>
      </w:trPr>
      <w:tc>
        <w:tcPr>
          <w:tcW w:w="2720" w:type="dxa"/>
          <w:vMerge/>
          <w:tcBorders>
            <w:bottom w:val="single" w:sz="4" w:space="0" w:color="auto"/>
          </w:tcBorders>
        </w:tcPr>
        <w:p w14:paraId="057EB34E" w14:textId="77777777" w:rsidR="00334052" w:rsidRPr="00A942A9" w:rsidRDefault="000A0182" w:rsidP="0085491C">
          <w:pPr>
            <w:pStyle w:val="Piedepgina"/>
            <w:tabs>
              <w:tab w:val="left" w:pos="5940"/>
            </w:tabs>
            <w:jc w:val="right"/>
            <w:rPr>
              <w:rFonts w:ascii="Arial Narrow" w:hAnsi="Arial Narrow"/>
            </w:rPr>
          </w:pPr>
        </w:p>
      </w:tc>
      <w:tc>
        <w:tcPr>
          <w:tcW w:w="4368" w:type="dxa"/>
          <w:tcBorders>
            <w:bottom w:val="single" w:sz="4" w:space="0" w:color="auto"/>
          </w:tcBorders>
          <w:vAlign w:val="center"/>
        </w:tcPr>
        <w:p w14:paraId="68B16843" w14:textId="77777777" w:rsidR="00334052" w:rsidRPr="00A942A9" w:rsidRDefault="000A0182" w:rsidP="0085491C">
          <w:pPr>
            <w:pStyle w:val="Piedepgina"/>
            <w:tabs>
              <w:tab w:val="left" w:pos="5940"/>
            </w:tabs>
            <w:jc w:val="center"/>
            <w:rPr>
              <w:rFonts w:ascii="Arial Narrow" w:hAnsi="Arial Narrow" w:cs="Arial"/>
              <w:b/>
            </w:rPr>
          </w:pPr>
          <w:r w:rsidRPr="00A942A9">
            <w:rPr>
              <w:rFonts w:ascii="Arial Narrow" w:hAnsi="Arial Narrow" w:cs="Arial"/>
              <w:b/>
            </w:rPr>
            <w:t>PROCESO: ADMINISTRACIÓN JUDICIAL</w:t>
          </w:r>
        </w:p>
      </w:tc>
      <w:tc>
        <w:tcPr>
          <w:tcW w:w="2835" w:type="dxa"/>
          <w:tcBorders>
            <w:bottom w:val="single" w:sz="4" w:space="0" w:color="auto"/>
          </w:tcBorders>
          <w:vAlign w:val="center"/>
        </w:tcPr>
        <w:p w14:paraId="78F9C3A1" w14:textId="77777777" w:rsidR="00334052" w:rsidRPr="00A942A9" w:rsidRDefault="000A0182" w:rsidP="0085491C">
          <w:pPr>
            <w:pStyle w:val="Piedepgina"/>
            <w:tabs>
              <w:tab w:val="left" w:pos="5940"/>
            </w:tabs>
            <w:rPr>
              <w:rFonts w:ascii="Arial Narrow" w:hAnsi="Arial Narrow" w:cs="Arial"/>
              <w:b/>
            </w:rPr>
          </w:pPr>
          <w:r w:rsidRPr="00A942A9">
            <w:rPr>
              <w:rFonts w:ascii="Arial Narrow" w:hAnsi="Arial Narrow" w:cs="Arial"/>
              <w:b/>
            </w:rPr>
            <w:t>VERSIÓN: 01</w:t>
          </w:r>
        </w:p>
      </w:tc>
    </w:tr>
    <w:tr w:rsidR="00334052" w:rsidRPr="00A942A9" w14:paraId="748A4182" w14:textId="77777777" w:rsidTr="0085491C">
      <w:trPr>
        <w:trHeight w:val="516"/>
      </w:trPr>
      <w:tc>
        <w:tcPr>
          <w:tcW w:w="2720" w:type="dxa"/>
          <w:vMerge/>
          <w:tcBorders>
            <w:bottom w:val="single" w:sz="4" w:space="0" w:color="auto"/>
          </w:tcBorders>
        </w:tcPr>
        <w:p w14:paraId="56642AD8" w14:textId="77777777" w:rsidR="00334052" w:rsidRPr="00A942A9" w:rsidRDefault="000A0182" w:rsidP="0085491C">
          <w:pPr>
            <w:pStyle w:val="Piedepgina"/>
            <w:tabs>
              <w:tab w:val="left" w:pos="5940"/>
            </w:tabs>
            <w:jc w:val="right"/>
            <w:rPr>
              <w:rFonts w:ascii="Arial Narrow" w:hAnsi="Arial Narrow"/>
            </w:rPr>
          </w:pPr>
        </w:p>
      </w:tc>
      <w:tc>
        <w:tcPr>
          <w:tcW w:w="4368" w:type="dxa"/>
          <w:tcBorders>
            <w:bottom w:val="single" w:sz="4" w:space="0" w:color="auto"/>
          </w:tcBorders>
          <w:vAlign w:val="center"/>
        </w:tcPr>
        <w:p w14:paraId="5BCC77D5" w14:textId="77777777" w:rsidR="00334052" w:rsidRPr="00A942A9" w:rsidRDefault="000A0182" w:rsidP="0085491C">
          <w:pPr>
            <w:pStyle w:val="Piedepgina"/>
            <w:tabs>
              <w:tab w:val="left" w:pos="5940"/>
            </w:tabs>
            <w:jc w:val="center"/>
            <w:rPr>
              <w:rFonts w:ascii="Arial Narrow" w:hAnsi="Arial Narrow" w:cs="Arial"/>
              <w:b/>
            </w:rPr>
          </w:pPr>
          <w:r w:rsidRPr="00A942A9">
            <w:rPr>
              <w:rFonts w:ascii="Arial Narrow" w:hAnsi="Arial Narrow" w:cs="Arial"/>
              <w:b/>
            </w:rPr>
            <w:t>FORMATO: FICHA DE CONCILIACIÓN EXTRAJUDICIAL</w:t>
          </w:r>
        </w:p>
      </w:tc>
      <w:tc>
        <w:tcPr>
          <w:tcW w:w="2835" w:type="dxa"/>
          <w:tcBorders>
            <w:bottom w:val="single" w:sz="4" w:space="0" w:color="auto"/>
          </w:tcBorders>
          <w:vAlign w:val="center"/>
        </w:tcPr>
        <w:p w14:paraId="4E1E1EA3" w14:textId="77777777" w:rsidR="00334052" w:rsidRPr="00A942A9" w:rsidRDefault="000A0182" w:rsidP="0085491C">
          <w:pPr>
            <w:pStyle w:val="Piedepgina"/>
            <w:tabs>
              <w:tab w:val="left" w:pos="5940"/>
            </w:tabs>
            <w:rPr>
              <w:rFonts w:ascii="Arial Narrow" w:hAnsi="Arial Narrow" w:cs="Arial"/>
              <w:b/>
            </w:rPr>
          </w:pPr>
          <w:r w:rsidRPr="00A942A9">
            <w:rPr>
              <w:rFonts w:ascii="Arial Narrow" w:hAnsi="Arial Narrow" w:cs="Arial"/>
              <w:b/>
            </w:rPr>
            <w:t xml:space="preserve">FECHA: </w:t>
          </w:r>
          <w:r>
            <w:rPr>
              <w:rFonts w:ascii="Arial Narrow" w:hAnsi="Arial Narrow" w:cs="Arial"/>
              <w:b/>
            </w:rPr>
            <w:t>12</w:t>
          </w:r>
          <w:r w:rsidRPr="00A942A9">
            <w:rPr>
              <w:rFonts w:ascii="Arial Narrow" w:hAnsi="Arial Narrow" w:cs="Arial"/>
              <w:b/>
            </w:rPr>
            <w:t>-0</w:t>
          </w:r>
          <w:r>
            <w:rPr>
              <w:rFonts w:ascii="Arial Narrow" w:hAnsi="Arial Narrow" w:cs="Arial"/>
              <w:b/>
            </w:rPr>
            <w:t>3</w:t>
          </w:r>
          <w:r w:rsidRPr="00A942A9">
            <w:rPr>
              <w:rFonts w:ascii="Arial Narrow" w:hAnsi="Arial Narrow" w:cs="Arial"/>
              <w:b/>
            </w:rPr>
            <w:t>-202</w:t>
          </w:r>
          <w:r>
            <w:rPr>
              <w:rFonts w:ascii="Arial Narrow" w:hAnsi="Arial Narrow" w:cs="Arial"/>
              <w:b/>
            </w:rPr>
            <w:t>6</w:t>
          </w:r>
        </w:p>
      </w:tc>
    </w:tr>
  </w:tbl>
  <w:p w14:paraId="77000073" w14:textId="77777777" w:rsidR="00334052" w:rsidRPr="00A942A9" w:rsidRDefault="000A0182" w:rsidP="0085491C">
    <w:pPr>
      <w:pStyle w:val="Piedepgina"/>
      <w:tabs>
        <w:tab w:val="left" w:pos="59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4728D"/>
    <w:multiLevelType w:val="hybridMultilevel"/>
    <w:tmpl w:val="57327B4A"/>
    <w:lvl w:ilvl="0" w:tplc="FFFFFFFF">
      <w:start w:val="1"/>
      <w:numFmt w:val="decimal"/>
      <w:lvlText w:val="%1."/>
      <w:lvlJc w:val="left"/>
      <w:pPr>
        <w:ind w:left="720" w:hanging="360"/>
      </w:pPr>
      <w:rPr>
        <w:rFonts w:ascii="Calibri" w:eastAsiaTheme="minorHAns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B70FF3"/>
    <w:multiLevelType w:val="hybridMultilevel"/>
    <w:tmpl w:val="2CFE57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FA07B5"/>
    <w:multiLevelType w:val="hybridMultilevel"/>
    <w:tmpl w:val="1AC67C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EC17F4"/>
    <w:multiLevelType w:val="hybridMultilevel"/>
    <w:tmpl w:val="D2C8D798"/>
    <w:lvl w:ilvl="0" w:tplc="C0AC052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F041CE"/>
    <w:multiLevelType w:val="hybridMultilevel"/>
    <w:tmpl w:val="1AC67C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3608C0"/>
    <w:multiLevelType w:val="hybridMultilevel"/>
    <w:tmpl w:val="E910C8F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037726"/>
    <w:multiLevelType w:val="hybridMultilevel"/>
    <w:tmpl w:val="5D02A02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CBC3794"/>
    <w:multiLevelType w:val="hybridMultilevel"/>
    <w:tmpl w:val="57327B4A"/>
    <w:lvl w:ilvl="0" w:tplc="5DFE7310">
      <w:start w:val="1"/>
      <w:numFmt w:val="decimal"/>
      <w:lvlText w:val="%1."/>
      <w:lvlJc w:val="left"/>
      <w:pPr>
        <w:ind w:left="720" w:hanging="360"/>
      </w:pPr>
      <w:rPr>
        <w:rFonts w:ascii="Calibri" w:eastAsiaTheme="minorHAnsi" w:hAnsi="Calibri" w:cs="Calibr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20F692B"/>
    <w:multiLevelType w:val="hybridMultilevel"/>
    <w:tmpl w:val="1AC67C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A11419D"/>
    <w:multiLevelType w:val="hybridMultilevel"/>
    <w:tmpl w:val="57327B4A"/>
    <w:lvl w:ilvl="0" w:tplc="FFFFFFFF">
      <w:start w:val="1"/>
      <w:numFmt w:val="decimal"/>
      <w:lvlText w:val="%1."/>
      <w:lvlJc w:val="left"/>
      <w:pPr>
        <w:ind w:left="720" w:hanging="360"/>
      </w:pPr>
      <w:rPr>
        <w:rFonts w:ascii="Calibri" w:eastAsiaTheme="minorHAns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B747727"/>
    <w:multiLevelType w:val="hybridMultilevel"/>
    <w:tmpl w:val="7A6A92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DC130AE"/>
    <w:multiLevelType w:val="hybridMultilevel"/>
    <w:tmpl w:val="7FAC5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10"/>
  </w:num>
  <w:num w:numId="5">
    <w:abstractNumId w:val="7"/>
  </w:num>
  <w:num w:numId="6">
    <w:abstractNumId w:val="0"/>
  </w:num>
  <w:num w:numId="7">
    <w:abstractNumId w:val="11"/>
  </w:num>
  <w:num w:numId="8">
    <w:abstractNumId w:val="4"/>
  </w:num>
  <w:num w:numId="9">
    <w:abstractNumId w:val="2"/>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5F1"/>
    <w:rsid w:val="00066F28"/>
    <w:rsid w:val="000A0182"/>
    <w:rsid w:val="000E24E3"/>
    <w:rsid w:val="000F3AC8"/>
    <w:rsid w:val="0013022A"/>
    <w:rsid w:val="001C1CF2"/>
    <w:rsid w:val="002A2C00"/>
    <w:rsid w:val="002E3542"/>
    <w:rsid w:val="004159D2"/>
    <w:rsid w:val="00423F84"/>
    <w:rsid w:val="00452EEF"/>
    <w:rsid w:val="00500B37"/>
    <w:rsid w:val="00516576"/>
    <w:rsid w:val="005805F1"/>
    <w:rsid w:val="006222FF"/>
    <w:rsid w:val="00627892"/>
    <w:rsid w:val="006715DB"/>
    <w:rsid w:val="006F2919"/>
    <w:rsid w:val="006F40D7"/>
    <w:rsid w:val="0083244C"/>
    <w:rsid w:val="00977624"/>
    <w:rsid w:val="00A56F07"/>
    <w:rsid w:val="00AB5F08"/>
    <w:rsid w:val="00AD3733"/>
    <w:rsid w:val="00AD592A"/>
    <w:rsid w:val="00B47DAF"/>
    <w:rsid w:val="00BB2376"/>
    <w:rsid w:val="00BD471F"/>
    <w:rsid w:val="00CF0CFD"/>
    <w:rsid w:val="00E6595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9A6D7"/>
  <w15:chartTrackingRefBased/>
  <w15:docId w15:val="{AF497519-25D4-4013-A703-DD851E6E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5F1"/>
    <w:pPr>
      <w:spacing w:after="0" w:line="240" w:lineRule="auto"/>
    </w:pPr>
    <w:rPr>
      <w:rFonts w:ascii="Times New Roman" w:eastAsia="Times New Roman" w:hAnsi="Times New Roman"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olorful List - Accent 11,Ha,List Paragraph1,lp1"/>
    <w:basedOn w:val="Normal"/>
    <w:link w:val="PrrafodelistaCar"/>
    <w:uiPriority w:val="34"/>
    <w:qFormat/>
    <w:rsid w:val="005805F1"/>
    <w:pPr>
      <w:ind w:left="720"/>
      <w:contextualSpacing/>
    </w:pPr>
  </w:style>
  <w:style w:type="paragraph" w:styleId="Piedepgina">
    <w:name w:val="footer"/>
    <w:basedOn w:val="Normal"/>
    <w:link w:val="PiedepginaCar"/>
    <w:rsid w:val="005805F1"/>
    <w:pPr>
      <w:tabs>
        <w:tab w:val="center" w:pos="4252"/>
        <w:tab w:val="right" w:pos="8504"/>
      </w:tabs>
    </w:pPr>
    <w:rPr>
      <w:lang w:eastAsia="es-ES"/>
    </w:rPr>
  </w:style>
  <w:style w:type="character" w:customStyle="1" w:styleId="PiedepginaCar">
    <w:name w:val="Pie de página Car"/>
    <w:basedOn w:val="Fuentedeprrafopredeter"/>
    <w:link w:val="Piedepgina"/>
    <w:rsid w:val="005805F1"/>
    <w:rPr>
      <w:rFonts w:ascii="Times New Roman" w:eastAsia="Times New Roman" w:hAnsi="Times New Roman" w:cs="Times New Roman"/>
      <w:sz w:val="24"/>
      <w:szCs w:val="24"/>
      <w:lang w:eastAsia="es-ES"/>
    </w:rPr>
  </w:style>
  <w:style w:type="paragraph" w:styleId="Sinespaciado">
    <w:name w:val="No Spacing"/>
    <w:link w:val="SinespaciadoCar"/>
    <w:uiPriority w:val="1"/>
    <w:qFormat/>
    <w:rsid w:val="005805F1"/>
    <w:pPr>
      <w:widowControl w:val="0"/>
      <w:spacing w:after="0" w:line="240" w:lineRule="auto"/>
    </w:pPr>
    <w:rPr>
      <w:rFonts w:ascii="Courier New" w:eastAsia="Courier New" w:hAnsi="Courier New" w:cs="Courier New"/>
      <w:color w:val="000000"/>
      <w:sz w:val="24"/>
      <w:szCs w:val="24"/>
      <w:lang w:val="es-ES" w:eastAsia="es-ES" w:bidi="es-ES"/>
    </w:rPr>
  </w:style>
  <w:style w:type="paragraph" w:styleId="NormalWeb">
    <w:name w:val="Normal (Web)"/>
    <w:basedOn w:val="Normal"/>
    <w:uiPriority w:val="99"/>
    <w:unhideWhenUsed/>
    <w:rsid w:val="005805F1"/>
    <w:pPr>
      <w:spacing w:before="100" w:beforeAutospacing="1" w:after="100" w:afterAutospacing="1"/>
    </w:pPr>
    <w:rPr>
      <w:lang w:eastAsia="es-ES"/>
    </w:rPr>
  </w:style>
  <w:style w:type="character" w:customStyle="1" w:styleId="PrrafodelistaCar">
    <w:name w:val="Párrafo de lista Car"/>
    <w:aliases w:val="Colorful List - Accent 11 Car,Ha Car,List Paragraph1 Car,lp1 Car"/>
    <w:link w:val="Prrafodelista"/>
    <w:uiPriority w:val="34"/>
    <w:rsid w:val="005805F1"/>
    <w:rPr>
      <w:rFonts w:ascii="Times New Roman" w:eastAsia="Times New Roman" w:hAnsi="Times New Roman" w:cs="Times New Roman"/>
      <w:sz w:val="24"/>
      <w:szCs w:val="24"/>
    </w:rPr>
  </w:style>
  <w:style w:type="character" w:customStyle="1" w:styleId="SinespaciadoCar">
    <w:name w:val="Sin espaciado Car"/>
    <w:link w:val="Sinespaciado"/>
    <w:uiPriority w:val="1"/>
    <w:locked/>
    <w:rsid w:val="005805F1"/>
    <w:rPr>
      <w:rFonts w:ascii="Courier New" w:eastAsia="Courier New" w:hAnsi="Courier New" w:cs="Courier New"/>
      <w:color w:val="000000"/>
      <w:sz w:val="24"/>
      <w:szCs w:val="24"/>
      <w:lang w:val="es-ES" w:eastAsia="es-ES" w:bidi="es-ES"/>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ft"/>
    <w:basedOn w:val="Normal"/>
    <w:link w:val="TextonotapieCar"/>
    <w:uiPriority w:val="99"/>
    <w:unhideWhenUsed/>
    <w:qFormat/>
    <w:rsid w:val="005805F1"/>
    <w:rPr>
      <w:sz w:val="20"/>
      <w:szCs w:val="20"/>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ft Car"/>
    <w:basedOn w:val="Fuentedeprrafopredeter"/>
    <w:link w:val="Textonotapie"/>
    <w:uiPriority w:val="99"/>
    <w:rsid w:val="005805F1"/>
    <w:rPr>
      <w:rFonts w:ascii="Times New Roman" w:eastAsia="Times New Roman" w:hAnsi="Times New Roman" w:cs="Times New Roman"/>
      <w:sz w:val="20"/>
      <w:szCs w:val="20"/>
    </w:rPr>
  </w:style>
  <w:style w:type="character" w:styleId="Refdenotaalpie">
    <w:name w:val="footnote reference"/>
    <w:aliases w:val="Ref. de nota al pie 2,Texto de nota al pie,Pie de Página,FC,Texto de nota al p,Pie de Pàgina,F,Pie de P_gin,Pie de P_,Texto de nota al pi,Pie de P_g,Pie de P,Footnotes refss,Appel note de bas de page,Footnote number,f,Pie de Pögin,4_"/>
    <w:link w:val="Appelnotedebasde"/>
    <w:uiPriority w:val="99"/>
    <w:unhideWhenUsed/>
    <w:qFormat/>
    <w:rsid w:val="005805F1"/>
    <w:rPr>
      <w:vertAlign w:val="superscript"/>
    </w:rPr>
  </w:style>
  <w:style w:type="character" w:styleId="Hipervnculo">
    <w:name w:val="Hyperlink"/>
    <w:basedOn w:val="Fuentedeprrafopredeter"/>
    <w:uiPriority w:val="99"/>
    <w:unhideWhenUsed/>
    <w:rsid w:val="005805F1"/>
    <w:rPr>
      <w:color w:val="0563C1" w:themeColor="hyperlink"/>
      <w:u w:val="single"/>
    </w:rPr>
  </w:style>
  <w:style w:type="paragraph" w:customStyle="1" w:styleId="Default">
    <w:name w:val="Default"/>
    <w:rsid w:val="00516576"/>
    <w:pPr>
      <w:autoSpaceDE w:val="0"/>
      <w:autoSpaceDN w:val="0"/>
      <w:adjustRightInd w:val="0"/>
      <w:spacing w:after="0" w:line="240" w:lineRule="auto"/>
    </w:pPr>
    <w:rPr>
      <w:rFonts w:ascii="Arial" w:hAnsi="Arial" w:cs="Arial"/>
      <w:color w:val="000000"/>
      <w:sz w:val="24"/>
      <w:szCs w:val="24"/>
    </w:rPr>
  </w:style>
  <w:style w:type="character" w:styleId="Mencinsinresolver">
    <w:name w:val="Unresolved Mention"/>
    <w:basedOn w:val="Fuentedeprrafopredeter"/>
    <w:uiPriority w:val="99"/>
    <w:semiHidden/>
    <w:unhideWhenUsed/>
    <w:rsid w:val="00BD471F"/>
    <w:rPr>
      <w:color w:val="605E5C"/>
      <w:shd w:val="clear" w:color="auto" w:fill="E1DFDD"/>
    </w:rPr>
  </w:style>
  <w:style w:type="paragraph" w:customStyle="1" w:styleId="Appelnotedebasde">
    <w:name w:val="Appel note de bas de..."/>
    <w:basedOn w:val="Normal"/>
    <w:link w:val="Refdenotaalpie"/>
    <w:uiPriority w:val="99"/>
    <w:rsid w:val="002E3542"/>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antioquia.gov.co" TargetMode="Externa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otificaciones.juridica@supernotariado.gov.co" TargetMode="Externa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6.emf"/></Relationships>
</file>

<file path=word/_rels/footer1.xml.rels><?xml version="1.0" encoding="UTF-8" standalone="yes"?>
<Relationships xmlns="http://schemas.openxmlformats.org/package/2006/relationships"><Relationship Id="rId3" Type="http://schemas.openxmlformats.org/officeDocument/2006/relationships/hyperlink" Target="http://www.supernotariado.gov.co" TargetMode="External"/><Relationship Id="rId2" Type="http://schemas.openxmlformats.org/officeDocument/2006/relationships/hyperlink" Target="http://www.supernotariado.gov.co" TargetMode="External"/><Relationship Id="rId1" Type="http://schemas.openxmlformats.org/officeDocument/2006/relationships/image" Target="media/image9.png"/></Relationships>
</file>

<file path=word/_rels/footnotes.xml.rels><?xml version="1.0" encoding="UTF-8" standalone="yes"?>
<Relationships xmlns="http://schemas.openxmlformats.org/package/2006/relationships"><Relationship Id="rId1" Type="http://schemas.openxmlformats.org/officeDocument/2006/relationships/hyperlink" Target="http://190.24.134.67/pce/sentencias%20boletin/boletin%20101/tercera/25000-23-26-000-1996-03282-01(20042).d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18</Pages>
  <Words>5655</Words>
  <Characters>31107</Characters>
  <Application>Microsoft Office Word</Application>
  <DocSecurity>0</DocSecurity>
  <Lines>259</Lines>
  <Paragraphs>73</Paragraphs>
  <ScaleCrop>false</ScaleCrop>
  <Company/>
  <LinksUpToDate>false</LinksUpToDate>
  <CharactersWithSpaces>36689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gregory torregrosa</dc:creator>
  <cp:keywords/>
  <dc:description/>
  <cp:lastModifiedBy>gregory torregrosa</cp:lastModifiedBy>
  <cp:revision>29</cp:revision>
  <dcterms:created xsi:type="dcterms:W3CDTF">2026-04-08T09:59:00Z</dcterms:created>
  <dcterms:modified xsi:type="dcterms:W3CDTF">2026-04-08T11:34:00Z</dcterms:modified>
</cp:coreProperties>
</file>